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CF6" w:rsidRDefault="00E35C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Chapter Eight</w:t>
      </w:r>
    </w:p>
    <w:p w:rsidR="00E35CF6" w:rsidRDefault="00E35C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Capital Gains and Losses</w:t>
      </w:r>
    </w:p>
    <w:p w:rsidR="00E35CF6" w:rsidRDefault="00E35CF6">
      <w:pPr>
        <w:rPr>
          <w:b/>
          <w:bCs/>
          <w:sz w:val="24"/>
          <w:szCs w:val="24"/>
          <w:u w:val="single"/>
        </w:rPr>
      </w:pPr>
    </w:p>
    <w:p w:rsidR="00E35CF6" w:rsidRDefault="008B1A42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35CF6">
        <w:rPr>
          <w:b/>
          <w:bCs/>
          <w:sz w:val="24"/>
          <w:szCs w:val="24"/>
          <w:u w:val="single"/>
        </w:rPr>
        <w:t xml:space="preserve"> 8.1</w:t>
      </w:r>
      <w:r w:rsidR="00E35CF6">
        <w:rPr>
          <w:b/>
          <w:bCs/>
          <w:sz w:val="24"/>
          <w:szCs w:val="24"/>
          <w:u w:val="single"/>
        </w:rPr>
        <w:tab/>
        <w:t>Capital Assets</w:t>
      </w:r>
    </w:p>
    <w:p w:rsidR="00E35CF6" w:rsidRDefault="00E35CF6">
      <w:pPr>
        <w:rPr>
          <w:sz w:val="24"/>
          <w:szCs w:val="24"/>
        </w:rPr>
      </w:pPr>
      <w:r>
        <w:rPr>
          <w:sz w:val="24"/>
          <w:szCs w:val="24"/>
        </w:rPr>
        <w:t xml:space="preserve">Tax law defines a capital asset </w:t>
      </w:r>
      <w:r w:rsidR="00745E3D">
        <w:rPr>
          <w:sz w:val="24"/>
          <w:szCs w:val="24"/>
        </w:rPr>
        <w:t>by exception – it is everything e3xcept:</w:t>
      </w:r>
    </w:p>
    <w:p w:rsidR="00E35CF6" w:rsidRDefault="00E35CF6" w:rsidP="00560D95">
      <w:pPr>
        <w:numPr>
          <w:ilvl w:val="0"/>
          <w:numId w:val="1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Stock in trade, inventory, or property held primarily for sale to customers in the ordinary course of a trade or business</w:t>
      </w:r>
    </w:p>
    <w:p w:rsidR="00E35CF6" w:rsidRDefault="00E35CF6" w:rsidP="00560D95">
      <w:pPr>
        <w:numPr>
          <w:ilvl w:val="0"/>
          <w:numId w:val="2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Depreciable property or real property used in a trade or business</w:t>
      </w:r>
    </w:p>
    <w:p w:rsidR="00E35CF6" w:rsidRDefault="00E35CF6" w:rsidP="00560D95">
      <w:pPr>
        <w:numPr>
          <w:ilvl w:val="0"/>
          <w:numId w:val="3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Copyrights, literary, musical or artistic compositions, letters or memorandums, or similar property if the property is created by the taxpayer</w:t>
      </w:r>
    </w:p>
    <w:p w:rsidR="00E35CF6" w:rsidRDefault="00E35CF6" w:rsidP="00560D95">
      <w:pPr>
        <w:numPr>
          <w:ilvl w:val="0"/>
          <w:numId w:val="4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 xml:space="preserve">Accounts or notes receivable </w:t>
      </w:r>
    </w:p>
    <w:p w:rsidR="00E35CF6" w:rsidRDefault="00E35CF6" w:rsidP="00560D95">
      <w:pPr>
        <w:numPr>
          <w:ilvl w:val="0"/>
          <w:numId w:val="5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Certain U.S. Government publications.</w:t>
      </w:r>
    </w:p>
    <w:p w:rsidR="00E35CF6" w:rsidRDefault="00E35CF6">
      <w:pPr>
        <w:rPr>
          <w:sz w:val="24"/>
          <w:szCs w:val="24"/>
        </w:rPr>
      </w:pPr>
    </w:p>
    <w:p w:rsidR="00E35CF6" w:rsidRDefault="00E35CF6">
      <w:pPr>
        <w:jc w:val="both"/>
        <w:rPr>
          <w:b/>
          <w:bCs/>
          <w:sz w:val="24"/>
          <w:szCs w:val="24"/>
        </w:rPr>
      </w:pPr>
    </w:p>
    <w:p w:rsidR="00E35CF6" w:rsidRDefault="008B1A42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35CF6">
        <w:rPr>
          <w:b/>
          <w:bCs/>
          <w:sz w:val="24"/>
          <w:szCs w:val="24"/>
          <w:u w:val="single"/>
        </w:rPr>
        <w:t xml:space="preserve"> 8.2</w:t>
      </w:r>
      <w:r w:rsidR="00E35CF6">
        <w:rPr>
          <w:b/>
          <w:bCs/>
          <w:sz w:val="24"/>
          <w:szCs w:val="24"/>
          <w:u w:val="single"/>
        </w:rPr>
        <w:tab/>
        <w:t>Holding Period</w:t>
      </w:r>
    </w:p>
    <w:p w:rsidR="00745E3D" w:rsidRDefault="00E35CF6">
      <w:pPr>
        <w:rPr>
          <w:sz w:val="24"/>
          <w:szCs w:val="24"/>
        </w:rPr>
      </w:pPr>
      <w:r>
        <w:rPr>
          <w:sz w:val="24"/>
          <w:szCs w:val="24"/>
        </w:rPr>
        <w:t xml:space="preserve">Gains and losses from the sale of capital assets are called capital gains and losses and </w:t>
      </w:r>
    </w:p>
    <w:p w:rsidR="00745E3D" w:rsidRDefault="00745E3D" w:rsidP="00745E3D">
      <w:pPr>
        <w:pStyle w:val="ListParagraph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E35CF6" w:rsidRPr="00745E3D">
        <w:rPr>
          <w:sz w:val="24"/>
          <w:szCs w:val="24"/>
        </w:rPr>
        <w:t>lassified as either short-term (</w:t>
      </w:r>
      <w:r w:rsidR="000A5129" w:rsidRPr="00745E3D">
        <w:rPr>
          <w:sz w:val="24"/>
          <w:szCs w:val="24"/>
        </w:rPr>
        <w:t xml:space="preserve">for assets </w:t>
      </w:r>
      <w:r w:rsidR="00E35CF6" w:rsidRPr="00745E3D">
        <w:rPr>
          <w:sz w:val="24"/>
          <w:szCs w:val="24"/>
        </w:rPr>
        <w:t>held up to a year</w:t>
      </w:r>
      <w:r w:rsidR="000A5129" w:rsidRPr="00745E3D">
        <w:rPr>
          <w:sz w:val="24"/>
          <w:szCs w:val="24"/>
        </w:rPr>
        <w:t xml:space="preserve"> in length</w:t>
      </w:r>
      <w:r w:rsidR="00E35CF6" w:rsidRPr="00745E3D">
        <w:rPr>
          <w:sz w:val="24"/>
          <w:szCs w:val="24"/>
        </w:rPr>
        <w:t xml:space="preserve">) or </w:t>
      </w:r>
    </w:p>
    <w:p w:rsidR="00E35CF6" w:rsidRPr="00745E3D" w:rsidRDefault="00745E3D" w:rsidP="00745E3D">
      <w:pPr>
        <w:pStyle w:val="ListParagraph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L</w:t>
      </w:r>
      <w:r w:rsidR="00E35CF6" w:rsidRPr="00745E3D">
        <w:rPr>
          <w:sz w:val="24"/>
          <w:szCs w:val="24"/>
        </w:rPr>
        <w:t>ong-term (</w:t>
      </w:r>
      <w:r w:rsidR="000A5129" w:rsidRPr="00745E3D">
        <w:rPr>
          <w:sz w:val="24"/>
          <w:szCs w:val="24"/>
        </w:rPr>
        <w:t xml:space="preserve">for assets </w:t>
      </w:r>
      <w:r w:rsidR="00E35CF6" w:rsidRPr="00745E3D">
        <w:rPr>
          <w:sz w:val="24"/>
          <w:szCs w:val="24"/>
        </w:rPr>
        <w:t xml:space="preserve">held longer than a year).  </w:t>
      </w:r>
    </w:p>
    <w:p w:rsidR="00E35CF6" w:rsidRDefault="00E35CF6">
      <w:pPr>
        <w:keepNext/>
        <w:jc w:val="both"/>
        <w:rPr>
          <w:b/>
          <w:bCs/>
          <w:sz w:val="24"/>
          <w:szCs w:val="24"/>
          <w:u w:val="single"/>
        </w:rPr>
      </w:pPr>
    </w:p>
    <w:p w:rsidR="00E35CF6" w:rsidRDefault="00E35CF6">
      <w:pPr>
        <w:rPr>
          <w:sz w:val="24"/>
          <w:szCs w:val="24"/>
        </w:rPr>
      </w:pPr>
    </w:p>
    <w:p w:rsidR="00E35CF6" w:rsidRDefault="008B1A42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35CF6">
        <w:rPr>
          <w:b/>
          <w:bCs/>
          <w:sz w:val="24"/>
          <w:szCs w:val="24"/>
          <w:u w:val="single"/>
        </w:rPr>
        <w:t xml:space="preserve"> 8.3</w:t>
      </w:r>
      <w:r w:rsidR="00E35CF6">
        <w:rPr>
          <w:b/>
          <w:bCs/>
          <w:sz w:val="24"/>
          <w:szCs w:val="24"/>
          <w:u w:val="single"/>
        </w:rPr>
        <w:tab/>
        <w:t>Calculation of Gain or Loss</w:t>
      </w:r>
    </w:p>
    <w:p w:rsidR="00745E3D" w:rsidRDefault="00E35CF6">
      <w:pPr>
        <w:rPr>
          <w:sz w:val="24"/>
          <w:szCs w:val="24"/>
        </w:rPr>
      </w:pPr>
      <w:r>
        <w:rPr>
          <w:sz w:val="24"/>
          <w:szCs w:val="24"/>
        </w:rPr>
        <w:t xml:space="preserve">The gain or loss realized is </w:t>
      </w:r>
    </w:p>
    <w:p w:rsidR="00745E3D" w:rsidRDefault="00745E3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Amount realized* - A</w:t>
      </w:r>
      <w:r w:rsidR="00250C42">
        <w:rPr>
          <w:sz w:val="24"/>
          <w:szCs w:val="24"/>
        </w:rPr>
        <w:t>djusted basis of the property</w:t>
      </w:r>
      <w:r w:rsidR="007B7235">
        <w:rPr>
          <w:sz w:val="24"/>
          <w:szCs w:val="24"/>
        </w:rPr>
        <w:t>**</w:t>
      </w:r>
      <w:r>
        <w:rPr>
          <w:sz w:val="24"/>
          <w:szCs w:val="24"/>
        </w:rPr>
        <w:t xml:space="preserve"> = Realized Gain</w:t>
      </w:r>
      <w:r w:rsidR="00250C42">
        <w:rPr>
          <w:sz w:val="24"/>
          <w:szCs w:val="24"/>
        </w:rPr>
        <w:t xml:space="preserve">  </w:t>
      </w:r>
    </w:p>
    <w:p w:rsidR="00745E3D" w:rsidRDefault="00745E3D">
      <w:pPr>
        <w:rPr>
          <w:sz w:val="24"/>
          <w:szCs w:val="24"/>
        </w:rPr>
      </w:pPr>
    </w:p>
    <w:p w:rsidR="007B7235" w:rsidRDefault="007B7235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745E3D">
        <w:rPr>
          <w:sz w:val="24"/>
          <w:szCs w:val="24"/>
        </w:rPr>
        <w:t>A</w:t>
      </w:r>
      <w:r w:rsidR="00250C42">
        <w:rPr>
          <w:sz w:val="24"/>
          <w:szCs w:val="24"/>
        </w:rPr>
        <w:t xml:space="preserve">mount realized </w:t>
      </w:r>
      <w:r w:rsidR="00745E3D">
        <w:rPr>
          <w:sz w:val="24"/>
          <w:szCs w:val="24"/>
        </w:rPr>
        <w:t>= Sales Price</w:t>
      </w:r>
      <w:r w:rsidR="00E35CF6">
        <w:rPr>
          <w:sz w:val="24"/>
          <w:szCs w:val="24"/>
        </w:rPr>
        <w:t xml:space="preserve"> (cash and the fair market value of property</w:t>
      </w:r>
      <w:r>
        <w:rPr>
          <w:sz w:val="24"/>
          <w:szCs w:val="24"/>
        </w:rPr>
        <w:t xml:space="preserve"> plus</w:t>
      </w:r>
      <w:r w:rsidR="00250C42">
        <w:rPr>
          <w:sz w:val="24"/>
          <w:szCs w:val="24"/>
        </w:rPr>
        <w:t xml:space="preserve"> liabilities relieved) </w:t>
      </w:r>
    </w:p>
    <w:p w:rsidR="007B7235" w:rsidRDefault="007B72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745E3D">
        <w:rPr>
          <w:sz w:val="24"/>
          <w:szCs w:val="24"/>
        </w:rPr>
        <w:t>-  C</w:t>
      </w:r>
      <w:r w:rsidR="00250C42">
        <w:rPr>
          <w:sz w:val="24"/>
          <w:szCs w:val="24"/>
        </w:rPr>
        <w:t xml:space="preserve">osts incurred to transfer the property.  </w:t>
      </w:r>
    </w:p>
    <w:p w:rsidR="007B7235" w:rsidRDefault="007B7235">
      <w:pPr>
        <w:rPr>
          <w:sz w:val="24"/>
          <w:szCs w:val="24"/>
        </w:rPr>
      </w:pPr>
    </w:p>
    <w:p w:rsidR="007B7235" w:rsidRDefault="007B7235">
      <w:pPr>
        <w:rPr>
          <w:sz w:val="24"/>
          <w:szCs w:val="24"/>
        </w:rPr>
      </w:pPr>
      <w:r>
        <w:rPr>
          <w:sz w:val="24"/>
          <w:szCs w:val="24"/>
        </w:rPr>
        <w:t>**Ad</w:t>
      </w:r>
      <w:r w:rsidR="00250C42">
        <w:rPr>
          <w:sz w:val="24"/>
          <w:szCs w:val="24"/>
        </w:rPr>
        <w:t xml:space="preserve">justed basis </w:t>
      </w:r>
      <w:r>
        <w:rPr>
          <w:sz w:val="24"/>
          <w:szCs w:val="24"/>
        </w:rPr>
        <w:t>= O</w:t>
      </w:r>
      <w:r w:rsidR="00E35CF6">
        <w:rPr>
          <w:sz w:val="24"/>
          <w:szCs w:val="24"/>
        </w:rPr>
        <w:t>rig</w:t>
      </w:r>
      <w:r w:rsidR="00250C42">
        <w:rPr>
          <w:sz w:val="24"/>
          <w:szCs w:val="24"/>
        </w:rPr>
        <w:t>inal cost</w:t>
      </w:r>
      <w:r w:rsidR="00E35CF6">
        <w:rPr>
          <w:sz w:val="24"/>
          <w:szCs w:val="24"/>
        </w:rPr>
        <w:t xml:space="preserve"> </w:t>
      </w:r>
    </w:p>
    <w:p w:rsidR="007B7235" w:rsidRDefault="007B72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+ C</w:t>
      </w:r>
      <w:r w:rsidR="00E35CF6">
        <w:rPr>
          <w:sz w:val="24"/>
          <w:szCs w:val="24"/>
        </w:rPr>
        <w:t xml:space="preserve">apital improvements </w:t>
      </w:r>
    </w:p>
    <w:p w:rsidR="007B7235" w:rsidRPr="00356095" w:rsidRDefault="00356095" w:rsidP="00356095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356095">
        <w:rPr>
          <w:sz w:val="24"/>
          <w:szCs w:val="24"/>
        </w:rPr>
        <w:t xml:space="preserve"> </w:t>
      </w:r>
      <w:r w:rsidR="007B7235" w:rsidRPr="00356095">
        <w:rPr>
          <w:sz w:val="24"/>
          <w:szCs w:val="24"/>
        </w:rPr>
        <w:t>Accumulated d</w:t>
      </w:r>
      <w:r w:rsidR="00E35CF6" w:rsidRPr="00356095">
        <w:rPr>
          <w:sz w:val="24"/>
          <w:szCs w:val="24"/>
        </w:rPr>
        <w:t xml:space="preserve">epreciation allowed or allowable.  </w:t>
      </w:r>
    </w:p>
    <w:p w:rsidR="007B7235" w:rsidRDefault="007B7235" w:rsidP="007B7235">
      <w:pPr>
        <w:rPr>
          <w:sz w:val="24"/>
          <w:szCs w:val="24"/>
        </w:rPr>
      </w:pPr>
    </w:p>
    <w:p w:rsidR="00E35CF6" w:rsidRPr="007B7235" w:rsidRDefault="00E35CF6" w:rsidP="007B7235">
      <w:pPr>
        <w:rPr>
          <w:sz w:val="24"/>
          <w:szCs w:val="24"/>
        </w:rPr>
      </w:pPr>
      <w:r w:rsidRPr="007B7235">
        <w:rPr>
          <w:sz w:val="24"/>
          <w:szCs w:val="24"/>
        </w:rPr>
        <w:t xml:space="preserve">Property received as an inheritance has a basis equal to the fair market value at the decedent’s date of death.  </w:t>
      </w:r>
    </w:p>
    <w:p w:rsidR="00E35CF6" w:rsidRDefault="00E35CF6">
      <w:pPr>
        <w:rPr>
          <w:sz w:val="24"/>
          <w:szCs w:val="24"/>
        </w:rPr>
      </w:pPr>
    </w:p>
    <w:p w:rsidR="00E35CF6" w:rsidRDefault="00E35CF6">
      <w:pPr>
        <w:rPr>
          <w:sz w:val="24"/>
          <w:szCs w:val="24"/>
        </w:rPr>
      </w:pPr>
    </w:p>
    <w:p w:rsidR="00E35CF6" w:rsidRDefault="008B1A42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35CF6">
        <w:rPr>
          <w:b/>
          <w:bCs/>
          <w:sz w:val="24"/>
          <w:szCs w:val="24"/>
          <w:u w:val="single"/>
        </w:rPr>
        <w:t xml:space="preserve"> 8.4</w:t>
      </w:r>
      <w:r w:rsidR="00E35CF6">
        <w:rPr>
          <w:b/>
          <w:bCs/>
          <w:sz w:val="24"/>
          <w:szCs w:val="24"/>
          <w:u w:val="single"/>
        </w:rPr>
        <w:tab/>
        <w:t>Net Capital Gains</w:t>
      </w:r>
    </w:p>
    <w:p w:rsidR="00E35CF6" w:rsidRDefault="00E35CF6">
      <w:pPr>
        <w:rPr>
          <w:sz w:val="24"/>
          <w:szCs w:val="24"/>
        </w:rPr>
      </w:pPr>
      <w:r>
        <w:rPr>
          <w:sz w:val="24"/>
          <w:szCs w:val="24"/>
        </w:rPr>
        <w:t>To calculate a taxpayer’s net capital gain or capital loss, the following procedures must be followed:</w:t>
      </w:r>
    </w:p>
    <w:p w:rsidR="00E35CF6" w:rsidRDefault="007B7235" w:rsidP="00560D95">
      <w:pPr>
        <w:numPr>
          <w:ilvl w:val="0"/>
          <w:numId w:val="6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Classify all c</w:t>
      </w:r>
      <w:r w:rsidR="00E35CF6">
        <w:rPr>
          <w:sz w:val="24"/>
          <w:szCs w:val="24"/>
        </w:rPr>
        <w:t>apital gains and losses</w:t>
      </w:r>
      <w:r>
        <w:rPr>
          <w:sz w:val="24"/>
          <w:szCs w:val="24"/>
        </w:rPr>
        <w:t xml:space="preserve"> as either short-term or long-term</w:t>
      </w:r>
      <w:r w:rsidR="00E35CF6">
        <w:rPr>
          <w:sz w:val="24"/>
          <w:szCs w:val="24"/>
        </w:rPr>
        <w:t xml:space="preserve"> </w:t>
      </w:r>
    </w:p>
    <w:p w:rsidR="00E35CF6" w:rsidRDefault="00E35CF6" w:rsidP="00560D95">
      <w:pPr>
        <w:numPr>
          <w:ilvl w:val="0"/>
          <w:numId w:val="7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Long-term capital gains are offset by long-term capital losses</w:t>
      </w:r>
      <w:r w:rsidR="007B7235">
        <w:rPr>
          <w:sz w:val="24"/>
          <w:szCs w:val="24"/>
        </w:rPr>
        <w:t xml:space="preserve"> </w:t>
      </w:r>
      <w:proofErr w:type="gramStart"/>
      <w:r w:rsidR="007B7235">
        <w:rPr>
          <w:sz w:val="24"/>
          <w:szCs w:val="24"/>
        </w:rPr>
        <w:t xml:space="preserve">= </w:t>
      </w:r>
      <w:r>
        <w:rPr>
          <w:sz w:val="24"/>
          <w:szCs w:val="24"/>
        </w:rPr>
        <w:t xml:space="preserve"> net</w:t>
      </w:r>
      <w:proofErr w:type="gramEnd"/>
      <w:r>
        <w:rPr>
          <w:sz w:val="24"/>
          <w:szCs w:val="24"/>
        </w:rPr>
        <w:t xml:space="preserve"> long-term capital gain or net long-term capital loss</w:t>
      </w:r>
    </w:p>
    <w:p w:rsidR="00E35CF6" w:rsidRDefault="00E35CF6" w:rsidP="00560D95">
      <w:pPr>
        <w:numPr>
          <w:ilvl w:val="0"/>
          <w:numId w:val="8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Short-term capital gains are offse</w:t>
      </w:r>
      <w:r w:rsidR="007B7235">
        <w:rPr>
          <w:sz w:val="24"/>
          <w:szCs w:val="24"/>
        </w:rPr>
        <w:t xml:space="preserve">t by short-term capital losses, = </w:t>
      </w:r>
      <w:r>
        <w:rPr>
          <w:sz w:val="24"/>
          <w:szCs w:val="24"/>
        </w:rPr>
        <w:t>net short-term capital gain or net short-term capital loss</w:t>
      </w:r>
    </w:p>
    <w:p w:rsidR="00A05188" w:rsidRDefault="00E35CF6" w:rsidP="00A05188">
      <w:pPr>
        <w:numPr>
          <w:ilvl w:val="0"/>
          <w:numId w:val="9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If Step 2 results in a net long-term capital gain, it may be offset by any net short-term capital loss.  If Step 2 results in a net long-term capital loss, it may offset net short-term capital gain.</w:t>
      </w:r>
    </w:p>
    <w:p w:rsidR="007B7235" w:rsidRDefault="007B7235" w:rsidP="007B7235">
      <w:pPr>
        <w:tabs>
          <w:tab w:val="left" w:pos="720"/>
        </w:tabs>
        <w:rPr>
          <w:sz w:val="24"/>
          <w:szCs w:val="24"/>
        </w:rPr>
      </w:pPr>
    </w:p>
    <w:p w:rsidR="007B7235" w:rsidRPr="007B7235" w:rsidRDefault="007B7235" w:rsidP="007B7235">
      <w:pPr>
        <w:ind w:left="360"/>
        <w:rPr>
          <w:sz w:val="24"/>
          <w:szCs w:val="24"/>
        </w:rPr>
      </w:pPr>
      <w:r w:rsidRPr="007B7235">
        <w:rPr>
          <w:sz w:val="24"/>
          <w:szCs w:val="24"/>
        </w:rPr>
        <w:t xml:space="preserve">It is necessary to order capital gains included in taxable income. They are ordered as follows </w:t>
      </w:r>
    </w:p>
    <w:p w:rsidR="007B7235" w:rsidRPr="007B7235" w:rsidRDefault="007B7235" w:rsidP="007B7235">
      <w:pPr>
        <w:ind w:left="360"/>
        <w:rPr>
          <w:sz w:val="24"/>
          <w:szCs w:val="24"/>
        </w:rPr>
      </w:pPr>
      <w:r w:rsidRPr="007B7235">
        <w:rPr>
          <w:sz w:val="24"/>
          <w:szCs w:val="24"/>
        </w:rPr>
        <w:t>1. Short-term capital gains   2. Unrecaptured Section 1250 gains on real estate 3. Gains on collectibles and   4. Long-term capital gains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620"/>
        <w:gridCol w:w="1440"/>
        <w:gridCol w:w="1890"/>
        <w:gridCol w:w="1890"/>
        <w:gridCol w:w="1890"/>
      </w:tblGrid>
      <w:tr w:rsidR="007B7235" w:rsidTr="004B20DE">
        <w:tc>
          <w:tcPr>
            <w:tcW w:w="1620" w:type="dxa"/>
          </w:tcPr>
          <w:p w:rsidR="007B7235" w:rsidRDefault="007B7235" w:rsidP="004B20D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Ordinary Tax Rate</w:t>
            </w:r>
          </w:p>
        </w:tc>
        <w:tc>
          <w:tcPr>
            <w:tcW w:w="1440" w:type="dxa"/>
          </w:tcPr>
          <w:p w:rsidR="007B7235" w:rsidRDefault="007B7235" w:rsidP="004B20D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Short-Term Capital Gains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Long-Term Capital Gains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Unrecaptured Section 1250 Gain               (See LO 8.7)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Collectibles Gain (Art, Gems, Coins, Stamps, etc.)</w:t>
            </w:r>
          </w:p>
        </w:tc>
      </w:tr>
      <w:tr w:rsidR="007B7235" w:rsidTr="004B20DE">
        <w:tc>
          <w:tcPr>
            <w:tcW w:w="162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 to 15%</w:t>
            </w:r>
          </w:p>
        </w:tc>
        <w:tc>
          <w:tcPr>
            <w:tcW w:w="144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 to 15%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 to 15%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 to 15%</w:t>
            </w:r>
          </w:p>
        </w:tc>
      </w:tr>
      <w:tr w:rsidR="007B7235" w:rsidTr="004B20DE">
        <w:tc>
          <w:tcPr>
            <w:tcW w:w="162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25% to 35%</w:t>
            </w:r>
          </w:p>
        </w:tc>
        <w:tc>
          <w:tcPr>
            <w:tcW w:w="144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25% to 35%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Capped at 15%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Capped at 25%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25 - 28%</w:t>
            </w:r>
          </w:p>
        </w:tc>
      </w:tr>
      <w:tr w:rsidR="007B7235" w:rsidTr="004B20DE">
        <w:tc>
          <w:tcPr>
            <w:tcW w:w="162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39.6%</w:t>
            </w:r>
          </w:p>
        </w:tc>
        <w:tc>
          <w:tcPr>
            <w:tcW w:w="144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39.6%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Capped at 20%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Capped at 25%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Capped at 28%</w:t>
            </w:r>
          </w:p>
        </w:tc>
      </w:tr>
      <w:tr w:rsidR="007B7235" w:rsidTr="004B20DE">
        <w:tc>
          <w:tcPr>
            <w:tcW w:w="162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3.8% ACA Medicare Surtax*</w:t>
            </w:r>
          </w:p>
        </w:tc>
        <w:tc>
          <w:tcPr>
            <w:tcW w:w="144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3.8% added for “high-income” taxpayers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3.8% added for “high-income” taxpayers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3.8% added for “high-income” taxpayers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3.8% added for “high-income” taxpayers</w:t>
            </w:r>
          </w:p>
        </w:tc>
      </w:tr>
      <w:tr w:rsidR="007B7235" w:rsidTr="004B20DE">
        <w:tc>
          <w:tcPr>
            <w:tcW w:w="162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 Total Rate</w:t>
            </w:r>
          </w:p>
        </w:tc>
        <w:tc>
          <w:tcPr>
            <w:tcW w:w="144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</w:p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43.4%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</w:p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23.8%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</w:p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28.8%</w:t>
            </w:r>
          </w:p>
        </w:tc>
        <w:tc>
          <w:tcPr>
            <w:tcW w:w="1890" w:type="dxa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</w:p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31.8%</w:t>
            </w:r>
          </w:p>
        </w:tc>
      </w:tr>
      <w:tr w:rsidR="007B7235" w:rsidTr="004B20DE">
        <w:tc>
          <w:tcPr>
            <w:tcW w:w="8730" w:type="dxa"/>
            <w:gridSpan w:val="5"/>
          </w:tcPr>
          <w:p w:rsidR="007B7235" w:rsidRDefault="007B7235" w:rsidP="004B20DE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*The 3.8% Medicare tax on net investment income, including qualifying dividends, applies to high-income taxpayers with income over certain limits.</w:t>
            </w:r>
          </w:p>
        </w:tc>
      </w:tr>
    </w:tbl>
    <w:p w:rsidR="000A5129" w:rsidRDefault="000A5129">
      <w:pPr>
        <w:keepNext/>
        <w:jc w:val="both"/>
        <w:rPr>
          <w:b/>
          <w:bCs/>
          <w:sz w:val="24"/>
          <w:szCs w:val="24"/>
          <w:u w:val="single"/>
        </w:rPr>
      </w:pPr>
    </w:p>
    <w:p w:rsidR="007B7235" w:rsidRDefault="007B7235">
      <w:pPr>
        <w:keepNext/>
        <w:jc w:val="both"/>
        <w:rPr>
          <w:b/>
          <w:bCs/>
          <w:sz w:val="24"/>
          <w:szCs w:val="24"/>
          <w:u w:val="single"/>
        </w:rPr>
      </w:pPr>
    </w:p>
    <w:p w:rsidR="00E35CF6" w:rsidRDefault="008B1A42">
      <w:pPr>
        <w:keepNext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35CF6">
        <w:rPr>
          <w:b/>
          <w:bCs/>
          <w:sz w:val="24"/>
          <w:szCs w:val="24"/>
          <w:u w:val="single"/>
        </w:rPr>
        <w:t xml:space="preserve"> 8.5</w:t>
      </w:r>
      <w:r w:rsidR="00E35CF6">
        <w:rPr>
          <w:b/>
          <w:bCs/>
          <w:sz w:val="24"/>
          <w:szCs w:val="24"/>
          <w:u w:val="single"/>
        </w:rPr>
        <w:tab/>
        <w:t>Net Capital Losses</w:t>
      </w:r>
    </w:p>
    <w:p w:rsidR="007B7235" w:rsidRDefault="00E35CF6">
      <w:pPr>
        <w:rPr>
          <w:sz w:val="24"/>
          <w:szCs w:val="24"/>
        </w:rPr>
      </w:pPr>
      <w:r>
        <w:rPr>
          <w:sz w:val="24"/>
          <w:szCs w:val="24"/>
        </w:rPr>
        <w:t xml:space="preserve">Net capital losses occur when the total capital losses for the period exceed the total capital gains for a period.  </w:t>
      </w:r>
    </w:p>
    <w:p w:rsidR="007B7235" w:rsidRDefault="007B7235" w:rsidP="007B7235">
      <w:pPr>
        <w:pStyle w:val="ListParagraph"/>
        <w:numPr>
          <w:ilvl w:val="0"/>
          <w:numId w:val="30"/>
        </w:numPr>
        <w:ind w:left="907"/>
        <w:rPr>
          <w:sz w:val="24"/>
          <w:szCs w:val="24"/>
        </w:rPr>
      </w:pPr>
      <w:r>
        <w:rPr>
          <w:sz w:val="24"/>
          <w:szCs w:val="24"/>
        </w:rPr>
        <w:t>Can deduct</w:t>
      </w:r>
      <w:r w:rsidR="00E35CF6" w:rsidRPr="007B7235">
        <w:rPr>
          <w:sz w:val="24"/>
          <w:szCs w:val="24"/>
        </w:rPr>
        <w:t xml:space="preserve"> net capital losses against ordinary income </w:t>
      </w:r>
      <w:r w:rsidR="00E35CF6" w:rsidRPr="007B7235">
        <w:rPr>
          <w:i/>
          <w:sz w:val="24"/>
          <w:szCs w:val="24"/>
        </w:rPr>
        <w:t>up to $3,000 per year.</w:t>
      </w:r>
      <w:r w:rsidR="00E35CF6" w:rsidRPr="007B7235">
        <w:rPr>
          <w:sz w:val="24"/>
          <w:szCs w:val="24"/>
        </w:rPr>
        <w:t xml:space="preserve">  </w:t>
      </w:r>
    </w:p>
    <w:p w:rsidR="007B7235" w:rsidRDefault="00E35CF6" w:rsidP="007B7235">
      <w:pPr>
        <w:pStyle w:val="ListParagraph"/>
        <w:numPr>
          <w:ilvl w:val="0"/>
          <w:numId w:val="30"/>
        </w:numPr>
        <w:ind w:left="907"/>
        <w:rPr>
          <w:sz w:val="24"/>
          <w:szCs w:val="24"/>
        </w:rPr>
      </w:pPr>
      <w:r w:rsidRPr="007B7235">
        <w:rPr>
          <w:sz w:val="24"/>
          <w:szCs w:val="24"/>
        </w:rPr>
        <w:t xml:space="preserve">Unused portions are carried forward until completely used.  </w:t>
      </w:r>
    </w:p>
    <w:p w:rsidR="007B7235" w:rsidRDefault="007B7235" w:rsidP="007B7235">
      <w:pPr>
        <w:rPr>
          <w:sz w:val="24"/>
          <w:szCs w:val="24"/>
        </w:rPr>
      </w:pPr>
    </w:p>
    <w:p w:rsidR="00E35CF6" w:rsidRPr="007B7235" w:rsidRDefault="00E35CF6" w:rsidP="007B7235">
      <w:pPr>
        <w:rPr>
          <w:sz w:val="24"/>
          <w:szCs w:val="24"/>
        </w:rPr>
      </w:pPr>
      <w:r w:rsidRPr="007B7235">
        <w:rPr>
          <w:sz w:val="24"/>
          <w:szCs w:val="24"/>
        </w:rPr>
        <w:t>The following order rules must be followed:</w:t>
      </w:r>
    </w:p>
    <w:p w:rsidR="00E35CF6" w:rsidRDefault="00E35CF6" w:rsidP="005D17EF">
      <w:pPr>
        <w:numPr>
          <w:ilvl w:val="0"/>
          <w:numId w:val="23"/>
        </w:numPr>
        <w:tabs>
          <w:tab w:val="left" w:pos="720"/>
        </w:tabs>
        <w:ind w:left="720"/>
        <w:rPr>
          <w:sz w:val="24"/>
          <w:szCs w:val="24"/>
        </w:rPr>
      </w:pPr>
      <w:r>
        <w:rPr>
          <w:sz w:val="24"/>
          <w:szCs w:val="24"/>
        </w:rPr>
        <w:t>Net short-term</w:t>
      </w:r>
      <w:r w:rsidR="006D5B92">
        <w:rPr>
          <w:sz w:val="24"/>
          <w:szCs w:val="24"/>
        </w:rPr>
        <w:t xml:space="preserve"> capital losses first reduce 28%</w:t>
      </w:r>
      <w:r>
        <w:rPr>
          <w:sz w:val="24"/>
          <w:szCs w:val="24"/>
        </w:rPr>
        <w:t xml:space="preserve"> gains, then 25</w:t>
      </w:r>
      <w:r w:rsidR="006D5B92">
        <w:rPr>
          <w:sz w:val="24"/>
          <w:szCs w:val="24"/>
        </w:rPr>
        <w:t>%</w:t>
      </w:r>
      <w:r>
        <w:rPr>
          <w:sz w:val="24"/>
          <w:szCs w:val="24"/>
        </w:rPr>
        <w:t xml:space="preserve"> gains, then </w:t>
      </w:r>
      <w:r w:rsidR="002064A3">
        <w:rPr>
          <w:sz w:val="24"/>
          <w:szCs w:val="24"/>
        </w:rPr>
        <w:t>regular long-</w:t>
      </w:r>
      <w:r>
        <w:rPr>
          <w:sz w:val="24"/>
          <w:szCs w:val="24"/>
        </w:rPr>
        <w:t>t</w:t>
      </w:r>
      <w:r w:rsidR="002064A3">
        <w:rPr>
          <w:sz w:val="24"/>
          <w:szCs w:val="24"/>
        </w:rPr>
        <w:t>erm</w:t>
      </w:r>
      <w:r>
        <w:rPr>
          <w:sz w:val="24"/>
          <w:szCs w:val="24"/>
        </w:rPr>
        <w:t xml:space="preserve"> gains.</w:t>
      </w:r>
    </w:p>
    <w:p w:rsidR="00E35CF6" w:rsidRDefault="00E35CF6" w:rsidP="005D17EF">
      <w:pPr>
        <w:numPr>
          <w:ilvl w:val="0"/>
          <w:numId w:val="23"/>
        </w:numPr>
        <w:tabs>
          <w:tab w:val="left" w:pos="720"/>
        </w:tabs>
        <w:ind w:left="720"/>
        <w:rPr>
          <w:sz w:val="24"/>
          <w:szCs w:val="24"/>
        </w:rPr>
      </w:pPr>
      <w:r>
        <w:rPr>
          <w:sz w:val="24"/>
          <w:szCs w:val="24"/>
        </w:rPr>
        <w:t>Net long-term</w:t>
      </w:r>
      <w:r w:rsidR="006D5B92">
        <w:rPr>
          <w:sz w:val="24"/>
          <w:szCs w:val="24"/>
        </w:rPr>
        <w:t xml:space="preserve"> capital losses first reduce 28% </w:t>
      </w:r>
      <w:r>
        <w:rPr>
          <w:sz w:val="24"/>
          <w:szCs w:val="24"/>
        </w:rPr>
        <w:t>gains, then 25</w:t>
      </w:r>
      <w:r w:rsidR="006D5B92">
        <w:rPr>
          <w:sz w:val="24"/>
          <w:szCs w:val="24"/>
        </w:rPr>
        <w:t>%</w:t>
      </w:r>
      <w:r>
        <w:rPr>
          <w:sz w:val="24"/>
          <w:szCs w:val="24"/>
        </w:rPr>
        <w:t xml:space="preserve"> gains, then any short-term capital gains.</w:t>
      </w:r>
    </w:p>
    <w:p w:rsidR="00E35CF6" w:rsidRDefault="00E35CF6">
      <w:pPr>
        <w:rPr>
          <w:sz w:val="24"/>
          <w:szCs w:val="24"/>
        </w:rPr>
      </w:pPr>
    </w:p>
    <w:p w:rsidR="00E35CF6" w:rsidRDefault="00E35CF6">
      <w:pPr>
        <w:rPr>
          <w:sz w:val="24"/>
          <w:szCs w:val="24"/>
        </w:rPr>
      </w:pPr>
    </w:p>
    <w:p w:rsidR="00E35CF6" w:rsidRDefault="008B1A42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35CF6">
        <w:rPr>
          <w:b/>
          <w:bCs/>
          <w:sz w:val="24"/>
          <w:szCs w:val="24"/>
          <w:u w:val="single"/>
        </w:rPr>
        <w:t xml:space="preserve"> 8.6 </w:t>
      </w:r>
      <w:r w:rsidR="00E35CF6">
        <w:rPr>
          <w:b/>
          <w:bCs/>
          <w:sz w:val="24"/>
          <w:szCs w:val="24"/>
          <w:u w:val="single"/>
        </w:rPr>
        <w:tab/>
      </w:r>
      <w:r w:rsidR="006D5B92">
        <w:rPr>
          <w:b/>
          <w:bCs/>
          <w:sz w:val="24"/>
          <w:szCs w:val="24"/>
          <w:u w:val="single"/>
        </w:rPr>
        <w:t>§</w:t>
      </w:r>
      <w:r w:rsidR="00E35CF6">
        <w:rPr>
          <w:b/>
          <w:bCs/>
          <w:sz w:val="24"/>
          <w:szCs w:val="24"/>
          <w:u w:val="single"/>
        </w:rPr>
        <w:t>1231 Gains and Losses</w:t>
      </w:r>
    </w:p>
    <w:p w:rsidR="00E35CF6" w:rsidRDefault="006D5B92">
      <w:pPr>
        <w:rPr>
          <w:sz w:val="24"/>
          <w:szCs w:val="24"/>
        </w:rPr>
      </w:pPr>
      <w:r>
        <w:rPr>
          <w:sz w:val="24"/>
          <w:szCs w:val="24"/>
        </w:rPr>
        <w:t>§</w:t>
      </w:r>
      <w:r w:rsidR="00E35CF6">
        <w:rPr>
          <w:sz w:val="24"/>
          <w:szCs w:val="24"/>
        </w:rPr>
        <w:t>1231 assets</w:t>
      </w:r>
      <w:r w:rsidR="007C5469">
        <w:rPr>
          <w:sz w:val="24"/>
          <w:szCs w:val="24"/>
        </w:rPr>
        <w:t>, although NOT capital asset</w:t>
      </w:r>
      <w:r>
        <w:rPr>
          <w:sz w:val="24"/>
          <w:szCs w:val="24"/>
        </w:rPr>
        <w:t>s, are given special treatment. They include</w:t>
      </w:r>
    </w:p>
    <w:p w:rsidR="00E35CF6" w:rsidRDefault="00E35CF6" w:rsidP="00356095">
      <w:pPr>
        <w:numPr>
          <w:ilvl w:val="0"/>
          <w:numId w:val="39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Depreciable or real property used in a trade or business</w:t>
      </w:r>
    </w:p>
    <w:p w:rsidR="00E35CF6" w:rsidRDefault="00E35CF6" w:rsidP="00356095">
      <w:pPr>
        <w:numPr>
          <w:ilvl w:val="0"/>
          <w:numId w:val="39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Timber, coal or domestic iron ore</w:t>
      </w:r>
    </w:p>
    <w:p w:rsidR="00E35CF6" w:rsidRDefault="00E35CF6" w:rsidP="00356095">
      <w:pPr>
        <w:numPr>
          <w:ilvl w:val="0"/>
          <w:numId w:val="39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Livestock (not including poultry) held for draft, breeding, dairy or sporting purposes</w:t>
      </w:r>
    </w:p>
    <w:p w:rsidR="00E35CF6" w:rsidRDefault="00E35CF6" w:rsidP="00356095">
      <w:pPr>
        <w:numPr>
          <w:ilvl w:val="0"/>
          <w:numId w:val="39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Unharvested crops on land used in a trade or business</w:t>
      </w:r>
    </w:p>
    <w:p w:rsidR="00E35CF6" w:rsidRDefault="00E35CF6">
      <w:pPr>
        <w:rPr>
          <w:sz w:val="24"/>
          <w:szCs w:val="24"/>
        </w:rPr>
      </w:pPr>
    </w:p>
    <w:p w:rsidR="006D5B92" w:rsidRDefault="00E35CF6">
      <w:pPr>
        <w:rPr>
          <w:sz w:val="24"/>
          <w:szCs w:val="24"/>
        </w:rPr>
      </w:pPr>
      <w:r>
        <w:rPr>
          <w:sz w:val="24"/>
          <w:szCs w:val="24"/>
        </w:rPr>
        <w:t xml:space="preserve">To calculate </w:t>
      </w:r>
      <w:r w:rsidR="006D5B92">
        <w:rPr>
          <w:sz w:val="24"/>
          <w:szCs w:val="24"/>
        </w:rPr>
        <w:t>§</w:t>
      </w:r>
      <w:r>
        <w:rPr>
          <w:sz w:val="24"/>
          <w:szCs w:val="24"/>
        </w:rPr>
        <w:t xml:space="preserve">1231 gains and losses, net all </w:t>
      </w:r>
      <w:r w:rsidR="006D5B92">
        <w:rPr>
          <w:sz w:val="24"/>
          <w:szCs w:val="24"/>
        </w:rPr>
        <w:t>§</w:t>
      </w:r>
      <w:r>
        <w:rPr>
          <w:sz w:val="24"/>
          <w:szCs w:val="24"/>
        </w:rPr>
        <w:t xml:space="preserve">1231 gains and losses.  </w:t>
      </w:r>
    </w:p>
    <w:p w:rsidR="006D5B92" w:rsidRDefault="00E35CF6" w:rsidP="006D5B92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6D5B92">
        <w:rPr>
          <w:sz w:val="24"/>
          <w:szCs w:val="24"/>
        </w:rPr>
        <w:t xml:space="preserve">If the gains exceed the losses, the excess is a long-term capital gain.  </w:t>
      </w:r>
    </w:p>
    <w:p w:rsidR="00E35CF6" w:rsidRPr="006D5B92" w:rsidRDefault="006D5B92" w:rsidP="006D5B92">
      <w:pPr>
        <w:pStyle w:val="ListParagraph"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If</w:t>
      </w:r>
      <w:r w:rsidR="00E35CF6" w:rsidRPr="006D5B92">
        <w:rPr>
          <w:sz w:val="24"/>
          <w:szCs w:val="24"/>
        </w:rPr>
        <w:t xml:space="preserve"> losses exceed the gains, all gains are treated as ordinary income and all losses are fully deductible as ordinary losses.</w:t>
      </w:r>
    </w:p>
    <w:p w:rsidR="00E35CF6" w:rsidRDefault="00E35CF6">
      <w:pPr>
        <w:rPr>
          <w:b/>
          <w:bCs/>
          <w:sz w:val="24"/>
          <w:szCs w:val="24"/>
        </w:rPr>
      </w:pPr>
    </w:p>
    <w:p w:rsidR="000A5129" w:rsidRDefault="000A5129">
      <w:pPr>
        <w:rPr>
          <w:b/>
          <w:bCs/>
          <w:sz w:val="24"/>
          <w:szCs w:val="24"/>
        </w:rPr>
      </w:pPr>
    </w:p>
    <w:p w:rsidR="006D5B92" w:rsidRDefault="006D5B92">
      <w:pPr>
        <w:rPr>
          <w:b/>
          <w:bCs/>
          <w:sz w:val="24"/>
          <w:szCs w:val="24"/>
        </w:rPr>
      </w:pPr>
    </w:p>
    <w:p w:rsidR="006D5B92" w:rsidRDefault="006D5B92">
      <w:pPr>
        <w:rPr>
          <w:b/>
          <w:bCs/>
          <w:sz w:val="24"/>
          <w:szCs w:val="24"/>
        </w:rPr>
      </w:pPr>
    </w:p>
    <w:p w:rsidR="006D5B92" w:rsidRDefault="006D5B92">
      <w:pPr>
        <w:rPr>
          <w:b/>
          <w:bCs/>
          <w:sz w:val="24"/>
          <w:szCs w:val="24"/>
        </w:rPr>
      </w:pPr>
    </w:p>
    <w:p w:rsidR="006D5B92" w:rsidRDefault="006D5B92">
      <w:pPr>
        <w:rPr>
          <w:b/>
          <w:bCs/>
          <w:sz w:val="24"/>
          <w:szCs w:val="24"/>
        </w:rPr>
      </w:pPr>
    </w:p>
    <w:p w:rsidR="006D5B92" w:rsidRDefault="006D5B92">
      <w:pPr>
        <w:rPr>
          <w:b/>
          <w:bCs/>
          <w:sz w:val="24"/>
          <w:szCs w:val="24"/>
        </w:rPr>
      </w:pPr>
    </w:p>
    <w:p w:rsidR="00E35CF6" w:rsidRDefault="008B1A42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35CF6">
        <w:rPr>
          <w:b/>
          <w:bCs/>
          <w:sz w:val="24"/>
          <w:szCs w:val="24"/>
          <w:u w:val="single"/>
        </w:rPr>
        <w:t xml:space="preserve"> 8.7</w:t>
      </w:r>
      <w:r w:rsidR="00E35CF6">
        <w:rPr>
          <w:b/>
          <w:bCs/>
          <w:sz w:val="24"/>
          <w:szCs w:val="24"/>
          <w:u w:val="single"/>
        </w:rPr>
        <w:tab/>
        <w:t>Depreciation Recapture</w:t>
      </w:r>
    </w:p>
    <w:p w:rsidR="007C5469" w:rsidRDefault="00E35CF6">
      <w:pPr>
        <w:rPr>
          <w:sz w:val="24"/>
          <w:szCs w:val="24"/>
        </w:rPr>
      </w:pPr>
      <w:r>
        <w:rPr>
          <w:sz w:val="24"/>
          <w:szCs w:val="24"/>
        </w:rPr>
        <w:t xml:space="preserve">Three main depreciation recapture rules exists for </w:t>
      </w:r>
      <w:r w:rsidR="006D5B92">
        <w:rPr>
          <w:sz w:val="24"/>
          <w:szCs w:val="24"/>
        </w:rPr>
        <w:t>§</w:t>
      </w:r>
      <w:r>
        <w:rPr>
          <w:sz w:val="24"/>
          <w:szCs w:val="24"/>
        </w:rPr>
        <w:t xml:space="preserve">1245 property, </w:t>
      </w:r>
      <w:r w:rsidR="006D5B92">
        <w:rPr>
          <w:sz w:val="24"/>
          <w:szCs w:val="24"/>
        </w:rPr>
        <w:t>§</w:t>
      </w:r>
      <w:r>
        <w:rPr>
          <w:sz w:val="24"/>
          <w:szCs w:val="24"/>
        </w:rPr>
        <w:t>1250 property and unrecaptured depreciation</w:t>
      </w:r>
      <w:r w:rsidR="007C5469">
        <w:rPr>
          <w:sz w:val="24"/>
          <w:szCs w:val="24"/>
        </w:rPr>
        <w:t xml:space="preserve"> previously taken on</w:t>
      </w:r>
      <w:r>
        <w:rPr>
          <w:sz w:val="24"/>
          <w:szCs w:val="24"/>
        </w:rPr>
        <w:t xml:space="preserve"> real estate</w:t>
      </w:r>
      <w:r w:rsidR="007C5469">
        <w:rPr>
          <w:sz w:val="24"/>
          <w:szCs w:val="24"/>
        </w:rPr>
        <w:t>.</w:t>
      </w:r>
    </w:p>
    <w:p w:rsidR="00E35CF6" w:rsidRDefault="00E35CF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D5B92">
        <w:rPr>
          <w:sz w:val="24"/>
          <w:szCs w:val="24"/>
        </w:rPr>
        <w:t>§</w:t>
      </w:r>
      <w:r>
        <w:rPr>
          <w:sz w:val="24"/>
          <w:szCs w:val="24"/>
        </w:rPr>
        <w:t>1245 property includes the following:</w:t>
      </w:r>
    </w:p>
    <w:p w:rsidR="00E35CF6" w:rsidRPr="00356095" w:rsidRDefault="00E35CF6" w:rsidP="00356095">
      <w:pPr>
        <w:pStyle w:val="ListParagraph"/>
        <w:numPr>
          <w:ilvl w:val="0"/>
          <w:numId w:val="40"/>
        </w:numPr>
        <w:tabs>
          <w:tab w:val="left" w:pos="720"/>
        </w:tabs>
        <w:rPr>
          <w:sz w:val="24"/>
          <w:szCs w:val="24"/>
        </w:rPr>
      </w:pPr>
      <w:r w:rsidRPr="00356095">
        <w:rPr>
          <w:sz w:val="24"/>
          <w:szCs w:val="24"/>
        </w:rPr>
        <w:t>Depreciable personal property</w:t>
      </w:r>
    </w:p>
    <w:p w:rsidR="00E35CF6" w:rsidRPr="00356095" w:rsidRDefault="00E35CF6" w:rsidP="00356095">
      <w:pPr>
        <w:pStyle w:val="ListParagraph"/>
        <w:numPr>
          <w:ilvl w:val="0"/>
          <w:numId w:val="40"/>
        </w:numPr>
        <w:tabs>
          <w:tab w:val="left" w:pos="720"/>
        </w:tabs>
        <w:rPr>
          <w:sz w:val="24"/>
          <w:szCs w:val="24"/>
        </w:rPr>
      </w:pPr>
      <w:r w:rsidRPr="00356095">
        <w:rPr>
          <w:sz w:val="24"/>
          <w:szCs w:val="24"/>
        </w:rPr>
        <w:t>Livestock</w:t>
      </w:r>
    </w:p>
    <w:p w:rsidR="00E35CF6" w:rsidRPr="00356095" w:rsidRDefault="00E35CF6" w:rsidP="00356095">
      <w:pPr>
        <w:pStyle w:val="ListParagraph"/>
        <w:numPr>
          <w:ilvl w:val="0"/>
          <w:numId w:val="40"/>
        </w:numPr>
        <w:tabs>
          <w:tab w:val="left" w:pos="720"/>
        </w:tabs>
        <w:rPr>
          <w:sz w:val="24"/>
          <w:szCs w:val="24"/>
        </w:rPr>
      </w:pPr>
      <w:r w:rsidRPr="00356095">
        <w:rPr>
          <w:sz w:val="24"/>
          <w:szCs w:val="24"/>
        </w:rPr>
        <w:t>Amortizable personal property such as patents, copyrights, leaseholds and professional sports contracts</w:t>
      </w:r>
    </w:p>
    <w:p w:rsidR="00E35CF6" w:rsidRPr="00356095" w:rsidRDefault="00E35CF6" w:rsidP="00356095">
      <w:pPr>
        <w:pStyle w:val="ListParagraph"/>
        <w:numPr>
          <w:ilvl w:val="0"/>
          <w:numId w:val="40"/>
        </w:numPr>
        <w:tabs>
          <w:tab w:val="left" w:pos="720"/>
        </w:tabs>
        <w:rPr>
          <w:sz w:val="24"/>
          <w:szCs w:val="24"/>
        </w:rPr>
      </w:pPr>
      <w:r w:rsidRPr="00356095">
        <w:rPr>
          <w:sz w:val="24"/>
          <w:szCs w:val="24"/>
        </w:rPr>
        <w:t>Elevators and escalators</w:t>
      </w:r>
    </w:p>
    <w:p w:rsidR="00E35CF6" w:rsidRPr="00356095" w:rsidRDefault="00E35CF6" w:rsidP="00356095">
      <w:pPr>
        <w:pStyle w:val="ListParagraph"/>
        <w:numPr>
          <w:ilvl w:val="0"/>
          <w:numId w:val="40"/>
        </w:numPr>
        <w:tabs>
          <w:tab w:val="left" w:pos="720"/>
        </w:tabs>
        <w:rPr>
          <w:sz w:val="24"/>
          <w:szCs w:val="24"/>
        </w:rPr>
      </w:pPr>
      <w:r w:rsidRPr="00356095">
        <w:rPr>
          <w:sz w:val="24"/>
          <w:szCs w:val="24"/>
        </w:rPr>
        <w:t>Pollution control facilities</w:t>
      </w:r>
    </w:p>
    <w:p w:rsidR="00E35CF6" w:rsidRPr="00356095" w:rsidRDefault="00E35CF6" w:rsidP="00356095">
      <w:pPr>
        <w:pStyle w:val="ListParagraph"/>
        <w:numPr>
          <w:ilvl w:val="0"/>
          <w:numId w:val="40"/>
        </w:numPr>
        <w:tabs>
          <w:tab w:val="left" w:pos="720"/>
        </w:tabs>
        <w:rPr>
          <w:sz w:val="24"/>
          <w:szCs w:val="24"/>
        </w:rPr>
      </w:pPr>
      <w:r w:rsidRPr="00356095">
        <w:rPr>
          <w:sz w:val="24"/>
          <w:szCs w:val="24"/>
        </w:rPr>
        <w:t xml:space="preserve">Nonresidential real property </w:t>
      </w:r>
    </w:p>
    <w:p w:rsidR="00E35CF6" w:rsidRDefault="00E35CF6">
      <w:pPr>
        <w:rPr>
          <w:sz w:val="24"/>
          <w:szCs w:val="24"/>
        </w:rPr>
      </w:pPr>
    </w:p>
    <w:p w:rsidR="007466DE" w:rsidRDefault="007466DE">
      <w:pPr>
        <w:rPr>
          <w:sz w:val="24"/>
          <w:szCs w:val="24"/>
        </w:rPr>
      </w:pPr>
      <w:r>
        <w:rPr>
          <w:sz w:val="24"/>
          <w:szCs w:val="24"/>
        </w:rPr>
        <w:t>Gains from sale of</w:t>
      </w:r>
      <w:r w:rsidR="00E35CF6">
        <w:rPr>
          <w:sz w:val="24"/>
          <w:szCs w:val="24"/>
        </w:rPr>
        <w:t xml:space="preserve"> </w:t>
      </w:r>
      <w:r>
        <w:rPr>
          <w:sz w:val="24"/>
          <w:szCs w:val="24"/>
        </w:rPr>
        <w:t>§1245 property</w:t>
      </w:r>
      <w:r>
        <w:rPr>
          <w:sz w:val="24"/>
          <w:szCs w:val="24"/>
        </w:rPr>
        <w:t xml:space="preserve"> is </w:t>
      </w:r>
      <w:r w:rsidR="00E35CF6">
        <w:rPr>
          <w:sz w:val="24"/>
          <w:szCs w:val="24"/>
        </w:rPr>
        <w:t>ordinary income up to an amount eq</w:t>
      </w:r>
      <w:r>
        <w:rPr>
          <w:sz w:val="24"/>
          <w:szCs w:val="24"/>
        </w:rPr>
        <w:t>ual to the depreciation claimed</w:t>
      </w:r>
    </w:p>
    <w:p w:rsidR="007C5469" w:rsidRPr="007466DE" w:rsidRDefault="00E35CF6" w:rsidP="007466DE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7466DE">
        <w:rPr>
          <w:sz w:val="24"/>
          <w:szCs w:val="24"/>
        </w:rPr>
        <w:t xml:space="preserve">Any amount over the ordinary income amount is considered </w:t>
      </w:r>
      <w:r w:rsidR="007466DE" w:rsidRPr="007466DE">
        <w:rPr>
          <w:sz w:val="24"/>
          <w:szCs w:val="24"/>
        </w:rPr>
        <w:t>§</w:t>
      </w:r>
      <w:r w:rsidR="00356095">
        <w:rPr>
          <w:sz w:val="24"/>
          <w:szCs w:val="24"/>
        </w:rPr>
        <w:t>1231 gain</w:t>
      </w:r>
      <w:r w:rsidRPr="007466DE">
        <w:rPr>
          <w:sz w:val="24"/>
          <w:szCs w:val="24"/>
        </w:rPr>
        <w:t xml:space="preserve">  </w:t>
      </w:r>
    </w:p>
    <w:p w:rsidR="007466DE" w:rsidRDefault="007466DE">
      <w:pPr>
        <w:rPr>
          <w:sz w:val="24"/>
          <w:szCs w:val="24"/>
        </w:rPr>
      </w:pPr>
    </w:p>
    <w:p w:rsidR="007466DE" w:rsidRDefault="007466DE">
      <w:pPr>
        <w:rPr>
          <w:sz w:val="24"/>
          <w:szCs w:val="24"/>
        </w:rPr>
      </w:pPr>
      <w:r>
        <w:rPr>
          <w:sz w:val="24"/>
          <w:szCs w:val="24"/>
        </w:rPr>
        <w:t>§</w:t>
      </w:r>
      <w:r w:rsidR="00E35CF6">
        <w:rPr>
          <w:sz w:val="24"/>
          <w:szCs w:val="24"/>
        </w:rPr>
        <w:t xml:space="preserve">1250 applies to real property other than </w:t>
      </w:r>
      <w:r>
        <w:rPr>
          <w:sz w:val="24"/>
          <w:szCs w:val="24"/>
        </w:rPr>
        <w:t>§</w:t>
      </w:r>
      <w:r w:rsidR="00E35CF6">
        <w:rPr>
          <w:sz w:val="24"/>
          <w:szCs w:val="24"/>
        </w:rPr>
        <w:t xml:space="preserve">1245 property.  </w:t>
      </w:r>
    </w:p>
    <w:p w:rsidR="007466DE" w:rsidRDefault="00E35CF6" w:rsidP="007466DE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7466DE">
        <w:rPr>
          <w:sz w:val="24"/>
          <w:szCs w:val="24"/>
        </w:rPr>
        <w:t xml:space="preserve">If the property was depreciated using </w:t>
      </w:r>
      <w:r w:rsidR="00356095">
        <w:rPr>
          <w:sz w:val="24"/>
          <w:szCs w:val="24"/>
        </w:rPr>
        <w:t xml:space="preserve">SL - </w:t>
      </w:r>
      <w:r w:rsidRPr="007466DE">
        <w:rPr>
          <w:sz w:val="24"/>
          <w:szCs w:val="24"/>
        </w:rPr>
        <w:t xml:space="preserve"> no recapture is necessary.  </w:t>
      </w:r>
    </w:p>
    <w:p w:rsidR="007466DE" w:rsidRDefault="00356095" w:rsidP="007466DE">
      <w:pPr>
        <w:pStyle w:val="ListParagraph"/>
        <w:numPr>
          <w:ilvl w:val="0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 xml:space="preserve">Must pay </w:t>
      </w:r>
      <w:r w:rsidR="00E35CF6" w:rsidRPr="007466DE">
        <w:rPr>
          <w:sz w:val="24"/>
          <w:szCs w:val="24"/>
        </w:rPr>
        <w:t>25</w:t>
      </w:r>
      <w:r w:rsidR="007466DE">
        <w:rPr>
          <w:sz w:val="24"/>
          <w:szCs w:val="24"/>
        </w:rPr>
        <w:t>%</w:t>
      </w:r>
      <w:r w:rsidR="00E35CF6" w:rsidRPr="007466DE">
        <w:rPr>
          <w:sz w:val="24"/>
          <w:szCs w:val="24"/>
        </w:rPr>
        <w:t xml:space="preserve"> for real property gains attributable to depreciation previously taken and not already recaptured under the </w:t>
      </w:r>
      <w:r w:rsidR="007466DE" w:rsidRPr="007466DE">
        <w:rPr>
          <w:sz w:val="24"/>
          <w:szCs w:val="24"/>
        </w:rPr>
        <w:t>§</w:t>
      </w:r>
      <w:r>
        <w:rPr>
          <w:sz w:val="24"/>
          <w:szCs w:val="24"/>
        </w:rPr>
        <w:t>1250 rules</w:t>
      </w:r>
      <w:r w:rsidR="00E35CF6" w:rsidRPr="007466DE">
        <w:rPr>
          <w:sz w:val="24"/>
          <w:szCs w:val="24"/>
        </w:rPr>
        <w:t xml:space="preserve"> </w:t>
      </w:r>
    </w:p>
    <w:p w:rsidR="007466DE" w:rsidRDefault="007466DE" w:rsidP="007466DE">
      <w:pPr>
        <w:pStyle w:val="ListParagraph"/>
        <w:numPr>
          <w:ilvl w:val="1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>This means that</w:t>
      </w:r>
      <w:r w:rsidR="00E35CF6" w:rsidRPr="007466DE">
        <w:rPr>
          <w:sz w:val="24"/>
          <w:szCs w:val="24"/>
        </w:rPr>
        <w:t xml:space="preserve"> gains on the sale of real estate may be taxed at </w:t>
      </w:r>
      <w:r w:rsidR="00907734" w:rsidRPr="007466DE">
        <w:rPr>
          <w:sz w:val="24"/>
          <w:szCs w:val="24"/>
        </w:rPr>
        <w:t>several</w:t>
      </w:r>
      <w:r w:rsidR="00E35CF6" w:rsidRPr="007466DE">
        <w:rPr>
          <w:sz w:val="24"/>
          <w:szCs w:val="24"/>
        </w:rPr>
        <w:t xml:space="preserve"> different rates</w:t>
      </w:r>
      <w:r w:rsidR="007C5469" w:rsidRPr="007466DE">
        <w:rPr>
          <w:sz w:val="24"/>
          <w:szCs w:val="24"/>
        </w:rPr>
        <w:t xml:space="preserve"> </w:t>
      </w:r>
      <w:r w:rsidR="00907734" w:rsidRPr="007466DE">
        <w:rPr>
          <w:sz w:val="24"/>
          <w:szCs w:val="24"/>
        </w:rPr>
        <w:t>ranging from 0 percent to 28.8% depend</w:t>
      </w:r>
      <w:r w:rsidR="00A05188" w:rsidRPr="007466DE">
        <w:rPr>
          <w:sz w:val="24"/>
          <w:szCs w:val="24"/>
        </w:rPr>
        <w:t>ing</w:t>
      </w:r>
      <w:r w:rsidR="00907734" w:rsidRPr="007466DE">
        <w:rPr>
          <w:sz w:val="24"/>
          <w:szCs w:val="24"/>
        </w:rPr>
        <w:t xml:space="preserve"> upon the taxpayer</w:t>
      </w:r>
      <w:r w:rsidR="00356095">
        <w:rPr>
          <w:sz w:val="24"/>
          <w:szCs w:val="24"/>
        </w:rPr>
        <w:t>’</w:t>
      </w:r>
      <w:r w:rsidR="00907734" w:rsidRPr="007466DE">
        <w:rPr>
          <w:sz w:val="24"/>
          <w:szCs w:val="24"/>
        </w:rPr>
        <w:t>s regular tax bracket</w:t>
      </w:r>
      <w:r w:rsidR="00E35CF6" w:rsidRPr="007466DE">
        <w:rPr>
          <w:sz w:val="24"/>
          <w:szCs w:val="24"/>
        </w:rPr>
        <w:t>.</w:t>
      </w:r>
      <w:r w:rsidR="00907734" w:rsidRPr="007466DE">
        <w:rPr>
          <w:sz w:val="24"/>
          <w:szCs w:val="24"/>
        </w:rPr>
        <w:t xml:space="preserve">  </w:t>
      </w:r>
    </w:p>
    <w:p w:rsidR="00E35CF6" w:rsidRPr="007466DE" w:rsidRDefault="00907734" w:rsidP="007466DE">
      <w:pPr>
        <w:pStyle w:val="ListParagraph"/>
        <w:numPr>
          <w:ilvl w:val="2"/>
          <w:numId w:val="32"/>
        </w:numPr>
        <w:rPr>
          <w:sz w:val="24"/>
          <w:szCs w:val="24"/>
        </w:rPr>
      </w:pPr>
      <w:r w:rsidRPr="007466DE">
        <w:rPr>
          <w:sz w:val="24"/>
          <w:szCs w:val="24"/>
        </w:rPr>
        <w:t>The ACA impose</w:t>
      </w:r>
      <w:r w:rsidR="00A05188" w:rsidRPr="007466DE">
        <w:rPr>
          <w:sz w:val="24"/>
          <w:szCs w:val="24"/>
        </w:rPr>
        <w:t>d</w:t>
      </w:r>
      <w:r w:rsidR="007466DE">
        <w:rPr>
          <w:sz w:val="24"/>
          <w:szCs w:val="24"/>
        </w:rPr>
        <w:t xml:space="preserve"> an additional 3.8% </w:t>
      </w:r>
      <w:r w:rsidRPr="007466DE">
        <w:rPr>
          <w:sz w:val="24"/>
          <w:szCs w:val="24"/>
        </w:rPr>
        <w:t>Medicare tax on net investment income for high-income taxpayers</w:t>
      </w:r>
      <w:r w:rsidR="000A5129" w:rsidRPr="007466DE">
        <w:rPr>
          <w:sz w:val="24"/>
          <w:szCs w:val="24"/>
        </w:rPr>
        <w:t xml:space="preserve"> </w:t>
      </w:r>
      <w:r w:rsidR="007466DE">
        <w:rPr>
          <w:sz w:val="24"/>
          <w:szCs w:val="24"/>
        </w:rPr>
        <w:t xml:space="preserve">and that </w:t>
      </w:r>
      <w:r w:rsidR="000A5129" w:rsidRPr="007466DE">
        <w:rPr>
          <w:sz w:val="24"/>
          <w:szCs w:val="24"/>
        </w:rPr>
        <w:t>increases</w:t>
      </w:r>
      <w:r w:rsidR="007466DE">
        <w:rPr>
          <w:sz w:val="24"/>
          <w:szCs w:val="24"/>
        </w:rPr>
        <w:t xml:space="preserve"> the special 25% tax to 28.8%</w:t>
      </w:r>
      <w:r w:rsidR="007C5469" w:rsidRPr="007466DE">
        <w:rPr>
          <w:sz w:val="24"/>
          <w:szCs w:val="24"/>
        </w:rPr>
        <w:t xml:space="preserve"> </w:t>
      </w:r>
      <w:r w:rsidR="007466DE">
        <w:rPr>
          <w:sz w:val="24"/>
          <w:szCs w:val="24"/>
        </w:rPr>
        <w:t xml:space="preserve">         </w:t>
      </w:r>
      <w:proofErr w:type="gramStart"/>
      <w:r w:rsidR="007466DE">
        <w:rPr>
          <w:sz w:val="24"/>
          <w:szCs w:val="24"/>
        </w:rPr>
        <w:t xml:space="preserve">   (</w:t>
      </w:r>
      <w:proofErr w:type="gramEnd"/>
      <w:r w:rsidR="007C5469" w:rsidRPr="007466DE">
        <w:rPr>
          <w:sz w:val="24"/>
          <w:szCs w:val="24"/>
        </w:rPr>
        <w:t xml:space="preserve">See </w:t>
      </w:r>
      <w:r w:rsidRPr="007466DE">
        <w:rPr>
          <w:sz w:val="24"/>
          <w:szCs w:val="24"/>
        </w:rPr>
        <w:t xml:space="preserve">LO </w:t>
      </w:r>
      <w:r w:rsidR="00304B39" w:rsidRPr="007466DE">
        <w:rPr>
          <w:sz w:val="24"/>
          <w:szCs w:val="24"/>
        </w:rPr>
        <w:t xml:space="preserve">1.9 and LO </w:t>
      </w:r>
      <w:r w:rsidRPr="007466DE">
        <w:rPr>
          <w:sz w:val="24"/>
          <w:szCs w:val="24"/>
        </w:rPr>
        <w:t>8.4</w:t>
      </w:r>
      <w:r w:rsidR="007466DE">
        <w:rPr>
          <w:sz w:val="24"/>
          <w:szCs w:val="24"/>
        </w:rPr>
        <w:t>)</w:t>
      </w:r>
    </w:p>
    <w:p w:rsidR="00E35CF6" w:rsidRDefault="00E35CF6">
      <w:pPr>
        <w:rPr>
          <w:sz w:val="24"/>
          <w:szCs w:val="24"/>
        </w:rPr>
      </w:pPr>
    </w:p>
    <w:p w:rsidR="00E35CF6" w:rsidRDefault="00E35CF6">
      <w:pPr>
        <w:rPr>
          <w:sz w:val="24"/>
          <w:szCs w:val="24"/>
        </w:rPr>
      </w:pPr>
    </w:p>
    <w:p w:rsidR="00E35CF6" w:rsidRDefault="008B1A42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35CF6">
        <w:rPr>
          <w:b/>
          <w:bCs/>
          <w:sz w:val="24"/>
          <w:szCs w:val="24"/>
          <w:u w:val="single"/>
        </w:rPr>
        <w:t xml:space="preserve"> 8.8 </w:t>
      </w:r>
      <w:r w:rsidR="00E35CF6">
        <w:rPr>
          <w:b/>
          <w:bCs/>
          <w:sz w:val="24"/>
          <w:szCs w:val="24"/>
          <w:u w:val="single"/>
        </w:rPr>
        <w:tab/>
        <w:t>Capital Gains and Casualty Gains and Losses</w:t>
      </w:r>
    </w:p>
    <w:p w:rsidR="007466DE" w:rsidRDefault="007466DE">
      <w:pPr>
        <w:rPr>
          <w:sz w:val="24"/>
          <w:szCs w:val="24"/>
        </w:rPr>
      </w:pPr>
      <w:r>
        <w:rPr>
          <w:sz w:val="24"/>
          <w:szCs w:val="24"/>
        </w:rPr>
        <w:t>Casualty gains and losses must be netted for tax purposes</w:t>
      </w:r>
      <w:r>
        <w:rPr>
          <w:sz w:val="24"/>
          <w:szCs w:val="24"/>
        </w:rPr>
        <w:t xml:space="preserve"> </w:t>
      </w:r>
    </w:p>
    <w:p w:rsidR="007466DE" w:rsidRDefault="00E35CF6" w:rsidP="007466DE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7466DE">
        <w:rPr>
          <w:sz w:val="24"/>
          <w:szCs w:val="24"/>
        </w:rPr>
        <w:t>Casualty gains are the result of receiving an insurance reimbursement in an amount in excess</w:t>
      </w:r>
      <w:r w:rsidR="007466DE">
        <w:rPr>
          <w:sz w:val="24"/>
          <w:szCs w:val="24"/>
        </w:rPr>
        <w:t xml:space="preserve"> of the basis of the property. </w:t>
      </w:r>
    </w:p>
    <w:p w:rsidR="007466DE" w:rsidRDefault="00E35CF6" w:rsidP="007466DE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7466DE">
        <w:rPr>
          <w:sz w:val="24"/>
          <w:szCs w:val="24"/>
        </w:rPr>
        <w:t xml:space="preserve">If the losses exceed gains, the excess loss is treated as an itemized deduction. </w:t>
      </w:r>
    </w:p>
    <w:p w:rsidR="007466DE" w:rsidRDefault="00E35CF6" w:rsidP="007466DE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7466DE">
        <w:rPr>
          <w:sz w:val="24"/>
          <w:szCs w:val="24"/>
        </w:rPr>
        <w:t>When casualty gains exceed casualty losses for the year, none of the casualty losse</w:t>
      </w:r>
      <w:r w:rsidR="007466DE">
        <w:rPr>
          <w:sz w:val="24"/>
          <w:szCs w:val="24"/>
        </w:rPr>
        <w:t xml:space="preserve">s are subject to the 10% </w:t>
      </w:r>
      <w:r w:rsidRPr="007466DE">
        <w:rPr>
          <w:sz w:val="24"/>
          <w:szCs w:val="24"/>
        </w:rPr>
        <w:t xml:space="preserve">of adjusted gross income limitation.  </w:t>
      </w:r>
    </w:p>
    <w:p w:rsidR="007466DE" w:rsidRDefault="007466DE" w:rsidP="007466DE">
      <w:pPr>
        <w:rPr>
          <w:sz w:val="24"/>
          <w:szCs w:val="24"/>
        </w:rPr>
      </w:pPr>
    </w:p>
    <w:p w:rsidR="007466DE" w:rsidRDefault="00E35CF6" w:rsidP="007466DE">
      <w:pPr>
        <w:rPr>
          <w:sz w:val="24"/>
          <w:szCs w:val="24"/>
        </w:rPr>
      </w:pPr>
      <w:r w:rsidRPr="007466DE">
        <w:rPr>
          <w:sz w:val="24"/>
          <w:szCs w:val="24"/>
        </w:rPr>
        <w:t>Casualty gains and losses from property used in a business or for investment must be classified as a capital asset, trade or business property subject to an allowance for deprecation, or ordinary income property.</w:t>
      </w:r>
    </w:p>
    <w:p w:rsidR="00E35CF6" w:rsidRPr="007466DE" w:rsidRDefault="007466DE" w:rsidP="007466DE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7466DE">
        <w:rPr>
          <w:sz w:val="24"/>
          <w:szCs w:val="24"/>
        </w:rPr>
        <w:t xml:space="preserve">Use Forms </w:t>
      </w:r>
      <w:r w:rsidR="00E35CF6" w:rsidRPr="007466DE">
        <w:rPr>
          <w:sz w:val="24"/>
          <w:szCs w:val="24"/>
        </w:rPr>
        <w:t xml:space="preserve">4686 and Form 4797 </w:t>
      </w:r>
      <w:r>
        <w:rPr>
          <w:sz w:val="24"/>
          <w:szCs w:val="24"/>
        </w:rPr>
        <w:t>to record casualty gains/losses</w:t>
      </w:r>
      <w:r w:rsidR="00E35CF6" w:rsidRPr="007466DE">
        <w:rPr>
          <w:sz w:val="24"/>
          <w:szCs w:val="24"/>
        </w:rPr>
        <w:t xml:space="preserve"> gains and losses</w:t>
      </w:r>
    </w:p>
    <w:p w:rsidR="00E35CF6" w:rsidRDefault="00E35CF6">
      <w:pPr>
        <w:rPr>
          <w:sz w:val="24"/>
          <w:szCs w:val="24"/>
        </w:rPr>
      </w:pPr>
    </w:p>
    <w:p w:rsidR="00E35CF6" w:rsidRDefault="007466DE" w:rsidP="007466DE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Note:  </w:t>
      </w:r>
      <w:r w:rsidRPr="007466DE">
        <w:rPr>
          <w:sz w:val="24"/>
          <w:szCs w:val="24"/>
        </w:rPr>
        <w:t xml:space="preserve"> </w:t>
      </w:r>
      <w:r w:rsidRPr="007466DE">
        <w:rPr>
          <w:i/>
          <w:sz w:val="24"/>
          <w:szCs w:val="24"/>
        </w:rPr>
        <w:t>the issue becomes very complex, depending on c</w:t>
      </w:r>
      <w:r>
        <w:rPr>
          <w:i/>
          <w:sz w:val="24"/>
          <w:szCs w:val="24"/>
        </w:rPr>
        <w:t>lassification of the asset</w:t>
      </w:r>
    </w:p>
    <w:p w:rsidR="007466DE" w:rsidRPr="007466DE" w:rsidRDefault="007466DE" w:rsidP="007466DE">
      <w:pPr>
        <w:rPr>
          <w:i/>
          <w:sz w:val="24"/>
          <w:szCs w:val="24"/>
        </w:rPr>
      </w:pPr>
    </w:p>
    <w:p w:rsidR="00E35CF6" w:rsidRDefault="008B1A42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35CF6">
        <w:rPr>
          <w:b/>
          <w:bCs/>
          <w:sz w:val="24"/>
          <w:szCs w:val="24"/>
          <w:u w:val="single"/>
        </w:rPr>
        <w:t xml:space="preserve"> 8.9</w:t>
      </w:r>
      <w:r w:rsidR="00E35CF6">
        <w:rPr>
          <w:b/>
          <w:bCs/>
          <w:sz w:val="24"/>
          <w:szCs w:val="24"/>
          <w:u w:val="single"/>
        </w:rPr>
        <w:tab/>
        <w:t>Installment Sales</w:t>
      </w:r>
    </w:p>
    <w:p w:rsidR="007466DE" w:rsidRDefault="00E35CF6">
      <w:pPr>
        <w:rPr>
          <w:sz w:val="24"/>
          <w:szCs w:val="24"/>
        </w:rPr>
      </w:pPr>
      <w:r>
        <w:rPr>
          <w:sz w:val="24"/>
          <w:szCs w:val="24"/>
        </w:rPr>
        <w:t xml:space="preserve">When taxpayers sell property but do not receive the entire payment, an </w:t>
      </w:r>
      <w:r w:rsidRPr="007466DE">
        <w:rPr>
          <w:i/>
          <w:sz w:val="24"/>
          <w:szCs w:val="24"/>
        </w:rPr>
        <w:t>installment sale</w:t>
      </w:r>
      <w:r>
        <w:rPr>
          <w:sz w:val="24"/>
          <w:szCs w:val="24"/>
        </w:rPr>
        <w:t xml:space="preserve"> is created.  </w:t>
      </w:r>
    </w:p>
    <w:p w:rsidR="007466DE" w:rsidRDefault="007466DE" w:rsidP="007466DE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7466DE">
        <w:rPr>
          <w:sz w:val="24"/>
          <w:szCs w:val="24"/>
        </w:rPr>
        <w:t>Can</w:t>
      </w:r>
      <w:r w:rsidR="00E35CF6" w:rsidRPr="007466DE">
        <w:rPr>
          <w:sz w:val="24"/>
          <w:szCs w:val="24"/>
        </w:rPr>
        <w:t xml:space="preserve"> spread gain from the sale over the tax periods in which the payments will be received, or elect to report all the gain in the year of sale.  </w:t>
      </w:r>
    </w:p>
    <w:p w:rsidR="007C5469" w:rsidRPr="007466DE" w:rsidRDefault="007C5469" w:rsidP="007466DE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7466DE">
        <w:rPr>
          <w:sz w:val="24"/>
          <w:szCs w:val="24"/>
        </w:rPr>
        <w:t xml:space="preserve">The calculation to determine taxable gain reported each year equals </w:t>
      </w:r>
    </w:p>
    <w:p w:rsidR="00E35CF6" w:rsidRPr="007C5469" w:rsidRDefault="007C5469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7C5469">
        <w:rPr>
          <w:i/>
          <w:sz w:val="24"/>
          <w:szCs w:val="24"/>
        </w:rPr>
        <w:t>Total gain realized on the sale/Contract price   x   Cash collections during the year</w:t>
      </w:r>
    </w:p>
    <w:p w:rsidR="00E35CF6" w:rsidRDefault="00E35CF6">
      <w:pPr>
        <w:rPr>
          <w:sz w:val="24"/>
          <w:szCs w:val="24"/>
        </w:rPr>
      </w:pPr>
    </w:p>
    <w:p w:rsidR="00E35CF6" w:rsidRDefault="00E35CF6">
      <w:pPr>
        <w:rPr>
          <w:sz w:val="24"/>
          <w:szCs w:val="24"/>
        </w:rPr>
      </w:pPr>
    </w:p>
    <w:p w:rsidR="00E35CF6" w:rsidRDefault="008B1A42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35CF6">
        <w:rPr>
          <w:b/>
          <w:bCs/>
          <w:sz w:val="24"/>
          <w:szCs w:val="24"/>
          <w:u w:val="single"/>
        </w:rPr>
        <w:t xml:space="preserve"> 8.10</w:t>
      </w:r>
      <w:r w:rsidR="00E35CF6">
        <w:rPr>
          <w:b/>
          <w:bCs/>
          <w:sz w:val="24"/>
          <w:szCs w:val="24"/>
          <w:u w:val="single"/>
        </w:rPr>
        <w:tab/>
        <w:t>Like-Kind Exchanges</w:t>
      </w:r>
    </w:p>
    <w:p w:rsidR="007466DE" w:rsidRDefault="007466DE">
      <w:pPr>
        <w:rPr>
          <w:sz w:val="24"/>
          <w:szCs w:val="24"/>
        </w:rPr>
      </w:pPr>
      <w:r>
        <w:rPr>
          <w:sz w:val="24"/>
          <w:szCs w:val="24"/>
        </w:rPr>
        <w:t>Exchange like kind property can result in a</w:t>
      </w:r>
      <w:r w:rsidR="00E35CF6">
        <w:rPr>
          <w:sz w:val="24"/>
          <w:szCs w:val="24"/>
        </w:rPr>
        <w:t xml:space="preserve"> gain or loss</w:t>
      </w:r>
      <w:r>
        <w:rPr>
          <w:sz w:val="24"/>
          <w:szCs w:val="24"/>
        </w:rPr>
        <w:t xml:space="preserve"> </w:t>
      </w:r>
    </w:p>
    <w:p w:rsidR="007466DE" w:rsidRDefault="007466DE" w:rsidP="007466DE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7466DE">
        <w:rPr>
          <w:sz w:val="24"/>
          <w:szCs w:val="24"/>
        </w:rPr>
        <w:t xml:space="preserve">A like-kind exchange must involve real property for real property or personal property for personal property.  Also, property classifications must be identical.  </w:t>
      </w:r>
    </w:p>
    <w:p w:rsidR="007466DE" w:rsidRPr="007466DE" w:rsidRDefault="007466DE" w:rsidP="007466DE">
      <w:pPr>
        <w:pStyle w:val="ListParagraph"/>
        <w:numPr>
          <w:ilvl w:val="1"/>
          <w:numId w:val="35"/>
        </w:numPr>
        <w:rPr>
          <w:sz w:val="24"/>
          <w:szCs w:val="24"/>
        </w:rPr>
      </w:pPr>
      <w:r w:rsidRPr="007466DE">
        <w:rPr>
          <w:sz w:val="24"/>
          <w:szCs w:val="24"/>
        </w:rPr>
        <w:t xml:space="preserve">Office equipment must be exchanged for office equipment, not computers, for example, to be a like-kind exchange.  </w:t>
      </w:r>
    </w:p>
    <w:p w:rsidR="007466DE" w:rsidRDefault="007466DE" w:rsidP="007466DE">
      <w:pPr>
        <w:pStyle w:val="ListParagraph"/>
        <w:numPr>
          <w:ilvl w:val="0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Gains/losses</w:t>
      </w:r>
      <w:r w:rsidR="00E35CF6" w:rsidRPr="007466DE">
        <w:rPr>
          <w:sz w:val="24"/>
          <w:szCs w:val="24"/>
        </w:rPr>
        <w:t xml:space="preserve"> may be deferred for tax purposes </w:t>
      </w:r>
    </w:p>
    <w:p w:rsidR="007466DE" w:rsidRDefault="00E35CF6" w:rsidP="007466DE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7466DE">
        <w:rPr>
          <w:sz w:val="24"/>
          <w:szCs w:val="24"/>
        </w:rPr>
        <w:t xml:space="preserve">To qualify as a nontaxable exchange, the property exchanged must be held for productive use in a trade or business or for investment.  </w:t>
      </w:r>
    </w:p>
    <w:p w:rsidR="007466DE" w:rsidRDefault="00E35CF6" w:rsidP="007466DE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7466DE">
        <w:rPr>
          <w:sz w:val="24"/>
          <w:szCs w:val="24"/>
        </w:rPr>
        <w:t>When an exchange involves</w:t>
      </w:r>
      <w:r w:rsidR="007C5469" w:rsidRPr="007466DE">
        <w:rPr>
          <w:sz w:val="24"/>
          <w:szCs w:val="24"/>
        </w:rPr>
        <w:t xml:space="preserve"> </w:t>
      </w:r>
      <w:r w:rsidR="007C5469" w:rsidRPr="007466DE">
        <w:rPr>
          <w:i/>
          <w:sz w:val="24"/>
          <w:szCs w:val="24"/>
        </w:rPr>
        <w:t>only</w:t>
      </w:r>
      <w:r w:rsidRPr="007466DE">
        <w:rPr>
          <w:i/>
          <w:sz w:val="24"/>
          <w:szCs w:val="24"/>
        </w:rPr>
        <w:t xml:space="preserve"> qualified like-kind property,</w:t>
      </w:r>
      <w:r w:rsidRPr="007466DE">
        <w:rPr>
          <w:sz w:val="24"/>
          <w:szCs w:val="24"/>
        </w:rPr>
        <w:t xml:space="preserve"> no gain or loss is recognized.  </w:t>
      </w:r>
    </w:p>
    <w:p w:rsidR="007466DE" w:rsidRDefault="00E35CF6" w:rsidP="007466DE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7466DE">
        <w:rPr>
          <w:sz w:val="24"/>
          <w:szCs w:val="24"/>
        </w:rPr>
        <w:t>If the exchange included cash or other property (boot), the ta</w:t>
      </w:r>
      <w:r w:rsidR="007466DE">
        <w:rPr>
          <w:sz w:val="24"/>
          <w:szCs w:val="24"/>
        </w:rPr>
        <w:t xml:space="preserve">x consequences can be limited. </w:t>
      </w:r>
    </w:p>
    <w:p w:rsidR="007466DE" w:rsidRDefault="00E35CF6" w:rsidP="007466DE">
      <w:pPr>
        <w:pStyle w:val="ListParagraph"/>
        <w:numPr>
          <w:ilvl w:val="1"/>
          <w:numId w:val="35"/>
        </w:numPr>
        <w:rPr>
          <w:sz w:val="24"/>
          <w:szCs w:val="24"/>
        </w:rPr>
      </w:pPr>
      <w:r w:rsidRPr="007466DE">
        <w:rPr>
          <w:sz w:val="24"/>
          <w:szCs w:val="24"/>
        </w:rPr>
        <w:t xml:space="preserve">Gain is recognized in an amount equal to the lesser of the </w:t>
      </w:r>
      <w:r w:rsidRPr="007466DE">
        <w:rPr>
          <w:i/>
          <w:sz w:val="24"/>
          <w:szCs w:val="24"/>
        </w:rPr>
        <w:t xml:space="preserve">gain realized or the boot received. </w:t>
      </w:r>
      <w:r w:rsidRPr="007466DE">
        <w:rPr>
          <w:sz w:val="24"/>
          <w:szCs w:val="24"/>
        </w:rPr>
        <w:t xml:space="preserve"> </w:t>
      </w:r>
    </w:p>
    <w:p w:rsidR="007466DE" w:rsidRDefault="00E35CF6" w:rsidP="007466DE">
      <w:pPr>
        <w:pStyle w:val="ListParagraph"/>
        <w:numPr>
          <w:ilvl w:val="1"/>
          <w:numId w:val="35"/>
        </w:numPr>
        <w:rPr>
          <w:sz w:val="24"/>
          <w:szCs w:val="24"/>
        </w:rPr>
      </w:pPr>
      <w:r w:rsidRPr="007466DE">
        <w:rPr>
          <w:sz w:val="24"/>
          <w:szCs w:val="24"/>
        </w:rPr>
        <w:t xml:space="preserve">Relief from liability is the same as receiving cash and is treated as boot.  </w:t>
      </w:r>
    </w:p>
    <w:p w:rsidR="007C5469" w:rsidRDefault="007C5469">
      <w:pPr>
        <w:rPr>
          <w:sz w:val="24"/>
          <w:szCs w:val="24"/>
        </w:rPr>
      </w:pPr>
    </w:p>
    <w:p w:rsidR="007C5469" w:rsidRDefault="007C5469">
      <w:pPr>
        <w:rPr>
          <w:sz w:val="24"/>
          <w:szCs w:val="24"/>
        </w:rPr>
      </w:pPr>
      <w:r>
        <w:rPr>
          <w:sz w:val="24"/>
          <w:szCs w:val="24"/>
        </w:rPr>
        <w:t>The basis of the like-kind property received equals:</w:t>
      </w:r>
    </w:p>
    <w:p w:rsidR="007C5469" w:rsidRPr="007C5469" w:rsidRDefault="007C5469">
      <w:pPr>
        <w:rPr>
          <w:i/>
          <w:sz w:val="24"/>
          <w:szCs w:val="24"/>
        </w:rPr>
      </w:pPr>
      <w:r>
        <w:rPr>
          <w:sz w:val="24"/>
          <w:szCs w:val="24"/>
        </w:rPr>
        <w:tab/>
      </w:r>
      <w:r w:rsidRPr="007C5469">
        <w:rPr>
          <w:i/>
          <w:sz w:val="24"/>
          <w:szCs w:val="24"/>
        </w:rPr>
        <w:t>The basis of the like-kind property given up</w:t>
      </w:r>
    </w:p>
    <w:p w:rsidR="007C5469" w:rsidRPr="007C5469" w:rsidRDefault="007C5469">
      <w:pPr>
        <w:rPr>
          <w:i/>
          <w:sz w:val="24"/>
          <w:szCs w:val="24"/>
        </w:rPr>
      </w:pPr>
      <w:r w:rsidRPr="007C5469">
        <w:rPr>
          <w:i/>
          <w:sz w:val="24"/>
          <w:szCs w:val="24"/>
        </w:rPr>
        <w:tab/>
        <w:t>Plus any boot paid</w:t>
      </w:r>
    </w:p>
    <w:p w:rsidR="007C5469" w:rsidRPr="007C5469" w:rsidRDefault="007C5469" w:rsidP="007C5469">
      <w:pPr>
        <w:rPr>
          <w:i/>
          <w:sz w:val="24"/>
          <w:szCs w:val="24"/>
        </w:rPr>
      </w:pPr>
      <w:r w:rsidRPr="007C5469">
        <w:rPr>
          <w:i/>
          <w:sz w:val="24"/>
          <w:szCs w:val="24"/>
        </w:rPr>
        <w:t xml:space="preserve">            Less any boot received</w:t>
      </w:r>
    </w:p>
    <w:p w:rsidR="007C5469" w:rsidRPr="007C5469" w:rsidRDefault="007C5469" w:rsidP="007C5469">
      <w:pPr>
        <w:ind w:firstLine="720"/>
        <w:rPr>
          <w:i/>
          <w:sz w:val="24"/>
          <w:szCs w:val="24"/>
        </w:rPr>
      </w:pPr>
      <w:r w:rsidRPr="007C5469">
        <w:rPr>
          <w:i/>
          <w:sz w:val="24"/>
          <w:szCs w:val="24"/>
        </w:rPr>
        <w:t>Plus any gain recognized</w:t>
      </w:r>
    </w:p>
    <w:p w:rsidR="007C5469" w:rsidRDefault="007C5469">
      <w:pPr>
        <w:rPr>
          <w:sz w:val="24"/>
          <w:szCs w:val="24"/>
        </w:rPr>
      </w:pPr>
    </w:p>
    <w:p w:rsidR="00E35CF6" w:rsidRDefault="00E35CF6">
      <w:pPr>
        <w:rPr>
          <w:sz w:val="24"/>
          <w:szCs w:val="24"/>
        </w:rPr>
      </w:pPr>
    </w:p>
    <w:p w:rsidR="00E35CF6" w:rsidRDefault="00E35CF6">
      <w:pPr>
        <w:rPr>
          <w:sz w:val="24"/>
          <w:szCs w:val="24"/>
        </w:rPr>
      </w:pPr>
    </w:p>
    <w:p w:rsidR="00E35CF6" w:rsidRDefault="008B1A42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35CF6">
        <w:rPr>
          <w:b/>
          <w:bCs/>
          <w:sz w:val="24"/>
          <w:szCs w:val="24"/>
          <w:u w:val="single"/>
        </w:rPr>
        <w:t xml:space="preserve"> 8.11</w:t>
      </w:r>
      <w:r w:rsidR="00E35CF6">
        <w:rPr>
          <w:b/>
          <w:bCs/>
          <w:sz w:val="24"/>
          <w:szCs w:val="24"/>
          <w:u w:val="single"/>
        </w:rPr>
        <w:tab/>
        <w:t>Involuntary Conversions</w:t>
      </w:r>
    </w:p>
    <w:p w:rsidR="00503CE3" w:rsidRDefault="00E35CF6">
      <w:pPr>
        <w:rPr>
          <w:sz w:val="24"/>
          <w:szCs w:val="24"/>
        </w:rPr>
      </w:pPr>
      <w:r>
        <w:rPr>
          <w:sz w:val="24"/>
          <w:szCs w:val="24"/>
        </w:rPr>
        <w:t xml:space="preserve">Taxpayers are sometimes forced to dispose of property as a result of circumstances beyond their control, such as natural disasters.  </w:t>
      </w:r>
    </w:p>
    <w:p w:rsidR="00503CE3" w:rsidRDefault="00E35CF6" w:rsidP="00503CE3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503CE3">
        <w:rPr>
          <w:sz w:val="24"/>
          <w:szCs w:val="24"/>
        </w:rPr>
        <w:t xml:space="preserve">Gains on these conversions may be deferred. </w:t>
      </w:r>
      <w:r w:rsidR="00503CE3">
        <w:rPr>
          <w:i/>
          <w:sz w:val="24"/>
          <w:szCs w:val="24"/>
        </w:rPr>
        <w:t>Note:  only gains – not losses</w:t>
      </w:r>
      <w:r w:rsidRPr="00503CE3">
        <w:rPr>
          <w:sz w:val="24"/>
          <w:szCs w:val="24"/>
        </w:rPr>
        <w:t xml:space="preserve"> </w:t>
      </w:r>
    </w:p>
    <w:p w:rsidR="00503CE3" w:rsidRDefault="00E35CF6" w:rsidP="00503CE3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503CE3">
        <w:rPr>
          <w:sz w:val="24"/>
          <w:szCs w:val="24"/>
        </w:rPr>
        <w:t xml:space="preserve">Replacement property must be similar in use and service.  </w:t>
      </w:r>
    </w:p>
    <w:p w:rsidR="00E35CF6" w:rsidRPr="00503CE3" w:rsidRDefault="00E35CF6" w:rsidP="00CF27D2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503CE3">
        <w:rPr>
          <w:sz w:val="24"/>
          <w:szCs w:val="24"/>
        </w:rPr>
        <w:t xml:space="preserve">A realized gain on the involuntary conversion occurs when insurance settlement </w:t>
      </w:r>
      <w:r w:rsidR="00503CE3">
        <w:rPr>
          <w:sz w:val="24"/>
          <w:szCs w:val="24"/>
        </w:rPr>
        <w:t xml:space="preserve">&gt; </w:t>
      </w:r>
      <w:r w:rsidRPr="00503CE3">
        <w:rPr>
          <w:sz w:val="24"/>
          <w:szCs w:val="24"/>
        </w:rPr>
        <w:t xml:space="preserve">adjusted basis </w:t>
      </w:r>
    </w:p>
    <w:p w:rsidR="00E35CF6" w:rsidRDefault="00E35CF6">
      <w:pPr>
        <w:rPr>
          <w:sz w:val="24"/>
          <w:szCs w:val="24"/>
        </w:rPr>
      </w:pPr>
    </w:p>
    <w:p w:rsidR="00E35CF6" w:rsidRDefault="008B1A42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35CF6">
        <w:rPr>
          <w:b/>
          <w:bCs/>
          <w:sz w:val="24"/>
          <w:szCs w:val="24"/>
          <w:u w:val="single"/>
        </w:rPr>
        <w:t xml:space="preserve"> 8.12</w:t>
      </w:r>
      <w:r w:rsidR="00E35CF6">
        <w:rPr>
          <w:b/>
          <w:bCs/>
          <w:sz w:val="24"/>
          <w:szCs w:val="24"/>
          <w:u w:val="single"/>
        </w:rPr>
        <w:tab/>
        <w:t>Sale of a Personal Residence</w:t>
      </w:r>
    </w:p>
    <w:p w:rsidR="00356095" w:rsidRDefault="00503CE3" w:rsidP="00503CE3">
      <w:pPr>
        <w:pStyle w:val="ListParagraph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Gain on s</w:t>
      </w:r>
      <w:r w:rsidRPr="00503CE3">
        <w:rPr>
          <w:sz w:val="24"/>
          <w:szCs w:val="24"/>
        </w:rPr>
        <w:t>ale of a</w:t>
      </w:r>
      <w:r w:rsidR="00E35CF6" w:rsidRPr="00503CE3">
        <w:rPr>
          <w:sz w:val="24"/>
          <w:szCs w:val="24"/>
        </w:rPr>
        <w:t xml:space="preserve"> principal residence </w:t>
      </w:r>
      <w:r w:rsidR="00356095">
        <w:rPr>
          <w:sz w:val="24"/>
          <w:szCs w:val="24"/>
        </w:rPr>
        <w:t xml:space="preserve">can be </w:t>
      </w:r>
      <w:r w:rsidR="00E35CF6" w:rsidRPr="00503CE3">
        <w:rPr>
          <w:sz w:val="24"/>
          <w:szCs w:val="24"/>
        </w:rPr>
        <w:t>exclude</w:t>
      </w:r>
      <w:r w:rsidR="00356095">
        <w:rPr>
          <w:sz w:val="24"/>
          <w:szCs w:val="24"/>
        </w:rPr>
        <w:t>d</w:t>
      </w:r>
      <w:r w:rsidR="00E35CF6" w:rsidRPr="00503CE3">
        <w:rPr>
          <w:sz w:val="24"/>
          <w:szCs w:val="24"/>
        </w:rPr>
        <w:t xml:space="preserve"> from income up to $250,000 </w:t>
      </w:r>
      <w:r w:rsidR="00356095">
        <w:rPr>
          <w:sz w:val="24"/>
          <w:szCs w:val="24"/>
        </w:rPr>
        <w:t>(S), $500,000 (MFJ</w:t>
      </w:r>
      <w:r w:rsidR="00E35CF6" w:rsidRPr="00503CE3">
        <w:rPr>
          <w:sz w:val="24"/>
          <w:szCs w:val="24"/>
        </w:rPr>
        <w:t xml:space="preserve">) on the sale of the residence.  </w:t>
      </w:r>
    </w:p>
    <w:p w:rsidR="00356095" w:rsidRDefault="00356095" w:rsidP="00356095">
      <w:pPr>
        <w:pStyle w:val="ListParagraph"/>
        <w:numPr>
          <w:ilvl w:val="1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Have to have lived in it for two of the last 5 years.</w:t>
      </w:r>
    </w:p>
    <w:p w:rsidR="00356095" w:rsidRDefault="00E35CF6" w:rsidP="00356095">
      <w:pPr>
        <w:pStyle w:val="ListParagraph"/>
        <w:numPr>
          <w:ilvl w:val="1"/>
          <w:numId w:val="37"/>
        </w:numPr>
        <w:rPr>
          <w:sz w:val="24"/>
          <w:szCs w:val="24"/>
        </w:rPr>
      </w:pPr>
      <w:r w:rsidRPr="00503CE3">
        <w:rPr>
          <w:sz w:val="24"/>
          <w:szCs w:val="24"/>
        </w:rPr>
        <w:t xml:space="preserve">Generally, this exclusion may only be used once every two years.  </w:t>
      </w:r>
    </w:p>
    <w:p w:rsidR="00E35CF6" w:rsidRPr="00356095" w:rsidRDefault="00E35CF6" w:rsidP="00356095">
      <w:pPr>
        <w:pStyle w:val="ListParagraph"/>
        <w:numPr>
          <w:ilvl w:val="1"/>
          <w:numId w:val="37"/>
        </w:numPr>
        <w:rPr>
          <w:sz w:val="24"/>
          <w:szCs w:val="24"/>
        </w:rPr>
      </w:pPr>
      <w:r w:rsidRPr="00356095">
        <w:rPr>
          <w:sz w:val="24"/>
          <w:szCs w:val="24"/>
        </w:rPr>
        <w:t>Per</w:t>
      </w:r>
      <w:r w:rsidR="00FF413C" w:rsidRPr="00356095">
        <w:rPr>
          <w:sz w:val="24"/>
          <w:szCs w:val="24"/>
        </w:rPr>
        <w:t>sonal residences include single-</w:t>
      </w:r>
      <w:r w:rsidRPr="00356095">
        <w:rPr>
          <w:sz w:val="24"/>
          <w:szCs w:val="24"/>
        </w:rPr>
        <w:t xml:space="preserve">family homes, mobile homes, houseboats, condominiums, cooperative apartments, duplexes or row houses.  </w:t>
      </w:r>
    </w:p>
    <w:p w:rsidR="00E35CF6" w:rsidRDefault="00E35CF6"/>
    <w:p w:rsidR="00E35CF6" w:rsidRDefault="00E35CF6">
      <w:pPr>
        <w:rPr>
          <w:sz w:val="24"/>
          <w:szCs w:val="24"/>
        </w:rPr>
      </w:pPr>
      <w:bookmarkStart w:id="0" w:name="_GoBack"/>
      <w:bookmarkEnd w:id="0"/>
    </w:p>
    <w:sectPr w:rsidR="00E35CF6" w:rsidSect="00745E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F39" w:rsidRDefault="00836F39">
      <w:r>
        <w:separator/>
      </w:r>
    </w:p>
  </w:endnote>
  <w:endnote w:type="continuationSeparator" w:id="0">
    <w:p w:rsidR="00836F39" w:rsidRDefault="00836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129" w:rsidRDefault="000A51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779" w:rsidRDefault="00C13779" w:rsidP="00C13779">
    <w:pPr>
      <w:tabs>
        <w:tab w:val="center" w:pos="4320"/>
        <w:tab w:val="right" w:pos="8640"/>
      </w:tabs>
      <w:rPr>
        <w:kern w:val="0"/>
      </w:rPr>
    </w:pPr>
    <w:r w:rsidRPr="00D166DE">
      <w:rPr>
        <w:sz w:val="16"/>
        <w:szCs w:val="16"/>
      </w:rPr>
      <w:t>© 201</w:t>
    </w:r>
    <w:r w:rsidR="000A5129">
      <w:rPr>
        <w:sz w:val="16"/>
        <w:szCs w:val="16"/>
      </w:rPr>
      <w:t>6</w:t>
    </w:r>
    <w:r w:rsidRPr="00D166DE">
      <w:rPr>
        <w:sz w:val="16"/>
        <w:szCs w:val="16"/>
      </w:rPr>
      <w:t xml:space="preserve"> Cengage Learning. All Rights Reserved. May not be copied, scanned, or duplicated, in whole or in part, except for use as permitted in a license distributed with a certain product or service or otherwise on a password-protected website for classroom use.</w:t>
    </w:r>
  </w:p>
  <w:p w:rsidR="0019011C" w:rsidRDefault="0019011C">
    <w:pPr>
      <w:tabs>
        <w:tab w:val="center" w:pos="4680"/>
        <w:tab w:val="right" w:pos="9360"/>
      </w:tabs>
      <w:rPr>
        <w:kern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129" w:rsidRDefault="000A51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F39" w:rsidRDefault="00836F39">
      <w:r>
        <w:separator/>
      </w:r>
    </w:p>
  </w:footnote>
  <w:footnote w:type="continuationSeparator" w:id="0">
    <w:p w:rsidR="00836F39" w:rsidRDefault="00836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129" w:rsidRDefault="000A51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1C" w:rsidRDefault="0019011C">
    <w:pPr>
      <w:tabs>
        <w:tab w:val="center" w:pos="4680"/>
        <w:tab w:val="right" w:pos="9360"/>
      </w:tabs>
      <w:rPr>
        <w:kern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129" w:rsidRDefault="000A51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35E"/>
    <w:multiLevelType w:val="hybridMultilevel"/>
    <w:tmpl w:val="5ABC3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556E5"/>
    <w:multiLevelType w:val="hybridMultilevel"/>
    <w:tmpl w:val="B484B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63305"/>
    <w:multiLevelType w:val="singleLevel"/>
    <w:tmpl w:val="A72A766A"/>
    <w:lvl w:ilvl="0">
      <w:start w:val="1"/>
      <w:numFmt w:val="decimal"/>
      <w:lvlText w:val="%1"/>
      <w:legacy w:legacy="1" w:legacySpace="0" w:legacyIndent="360"/>
      <w:lvlJc w:val="left"/>
      <w:rPr>
        <w:rFonts w:ascii="Symbol" w:hAnsi="Symbol" w:cs="Symbol" w:hint="default"/>
      </w:rPr>
    </w:lvl>
  </w:abstractNum>
  <w:abstractNum w:abstractNumId="3" w15:restartNumberingAfterBreak="0">
    <w:nsid w:val="12E21C2F"/>
    <w:multiLevelType w:val="hybridMultilevel"/>
    <w:tmpl w:val="525C2570"/>
    <w:lvl w:ilvl="0" w:tplc="0409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4" w15:restartNumberingAfterBreak="0">
    <w:nsid w:val="157555F3"/>
    <w:multiLevelType w:val="hybridMultilevel"/>
    <w:tmpl w:val="E894324A"/>
    <w:lvl w:ilvl="0" w:tplc="2B48D632">
      <w:start w:val="125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C805EF"/>
    <w:multiLevelType w:val="singleLevel"/>
    <w:tmpl w:val="9CB0767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0867079"/>
    <w:multiLevelType w:val="singleLevel"/>
    <w:tmpl w:val="9CB0767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14D325B"/>
    <w:multiLevelType w:val="hybridMultilevel"/>
    <w:tmpl w:val="1194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A2761"/>
    <w:multiLevelType w:val="hybridMultilevel"/>
    <w:tmpl w:val="8B9682AE"/>
    <w:lvl w:ilvl="0" w:tplc="BB9AA01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7884780"/>
    <w:multiLevelType w:val="hybridMultilevel"/>
    <w:tmpl w:val="6B400E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E8042E"/>
    <w:multiLevelType w:val="hybridMultilevel"/>
    <w:tmpl w:val="F462F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85AF7"/>
    <w:multiLevelType w:val="hybridMultilevel"/>
    <w:tmpl w:val="13E44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73359"/>
    <w:multiLevelType w:val="hybridMultilevel"/>
    <w:tmpl w:val="1898E8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FC1AA1"/>
    <w:multiLevelType w:val="hybridMultilevel"/>
    <w:tmpl w:val="A5649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958E1"/>
    <w:multiLevelType w:val="hybridMultilevel"/>
    <w:tmpl w:val="3D9AC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BE3002"/>
    <w:multiLevelType w:val="singleLevel"/>
    <w:tmpl w:val="9CB0767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315493C"/>
    <w:multiLevelType w:val="hybridMultilevel"/>
    <w:tmpl w:val="3E489C96"/>
    <w:lvl w:ilvl="0" w:tplc="5C083AD4">
      <w:start w:val="1250"/>
      <w:numFmt w:val="bullet"/>
      <w:lvlText w:val="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F403F1"/>
    <w:multiLevelType w:val="hybridMultilevel"/>
    <w:tmpl w:val="0994EC04"/>
    <w:lvl w:ilvl="0" w:tplc="205E17C4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61122C77"/>
    <w:multiLevelType w:val="hybridMultilevel"/>
    <w:tmpl w:val="35ECFF82"/>
    <w:lvl w:ilvl="0" w:tplc="A9C0DDC8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5F40657"/>
    <w:multiLevelType w:val="hybridMultilevel"/>
    <w:tmpl w:val="77661B96"/>
    <w:lvl w:ilvl="0" w:tplc="3CEECE22">
      <w:start w:val="125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2A90FF5"/>
    <w:multiLevelType w:val="singleLevel"/>
    <w:tmpl w:val="A72A766A"/>
    <w:lvl w:ilvl="0">
      <w:start w:val="1"/>
      <w:numFmt w:val="decimal"/>
      <w:lvlText w:val="%1"/>
      <w:legacy w:legacy="1" w:legacySpace="0" w:legacyIndent="360"/>
      <w:lvlJc w:val="left"/>
      <w:rPr>
        <w:rFonts w:ascii="Symbol" w:hAnsi="Symbol" w:cs="Symbol" w:hint="default"/>
      </w:rPr>
    </w:lvl>
  </w:abstractNum>
  <w:abstractNum w:abstractNumId="21" w15:restartNumberingAfterBreak="0">
    <w:nsid w:val="7A6E19B1"/>
    <w:multiLevelType w:val="hybridMultilevel"/>
    <w:tmpl w:val="ECE23DDE"/>
    <w:lvl w:ilvl="0" w:tplc="A9C0DDC8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2" w15:restartNumberingAfterBreak="0">
    <w:nsid w:val="7B262E29"/>
    <w:multiLevelType w:val="hybridMultilevel"/>
    <w:tmpl w:val="14A09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5"/>
  </w:num>
  <w:num w:numId="7">
    <w:abstractNumId w:val="1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5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5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0"/>
  </w:num>
  <w:num w:numId="11">
    <w:abstractNumId w:val="2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2">
    <w:abstractNumId w:val="2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3">
    <w:abstractNumId w:val="6"/>
  </w:num>
  <w:num w:numId="14">
    <w:abstractNumId w:val="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6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6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"/>
  </w:num>
  <w:num w:numId="18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0">
    <w:abstractNumId w:val="2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1">
    <w:abstractNumId w:val="2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2">
    <w:abstractNumId w:val="2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3">
    <w:abstractNumId w:val="12"/>
  </w:num>
  <w:num w:numId="24">
    <w:abstractNumId w:val="9"/>
  </w:num>
  <w:num w:numId="25">
    <w:abstractNumId w:val="4"/>
  </w:num>
  <w:num w:numId="26">
    <w:abstractNumId w:val="19"/>
  </w:num>
  <w:num w:numId="27">
    <w:abstractNumId w:val="16"/>
  </w:num>
  <w:num w:numId="28">
    <w:abstractNumId w:val="1"/>
  </w:num>
  <w:num w:numId="29">
    <w:abstractNumId w:val="8"/>
  </w:num>
  <w:num w:numId="30">
    <w:abstractNumId w:val="3"/>
  </w:num>
  <w:num w:numId="31">
    <w:abstractNumId w:val="10"/>
  </w:num>
  <w:num w:numId="32">
    <w:abstractNumId w:val="14"/>
  </w:num>
  <w:num w:numId="33">
    <w:abstractNumId w:val="7"/>
  </w:num>
  <w:num w:numId="34">
    <w:abstractNumId w:val="22"/>
  </w:num>
  <w:num w:numId="35">
    <w:abstractNumId w:val="11"/>
  </w:num>
  <w:num w:numId="36">
    <w:abstractNumId w:val="0"/>
  </w:num>
  <w:num w:numId="37">
    <w:abstractNumId w:val="13"/>
  </w:num>
  <w:num w:numId="38">
    <w:abstractNumId w:val="17"/>
  </w:num>
  <w:num w:numId="39">
    <w:abstractNumId w:val="21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E35CF6"/>
    <w:rsid w:val="000476D1"/>
    <w:rsid w:val="000560D3"/>
    <w:rsid w:val="00085E5D"/>
    <w:rsid w:val="000A5129"/>
    <w:rsid w:val="00181145"/>
    <w:rsid w:val="0019011C"/>
    <w:rsid w:val="001B5817"/>
    <w:rsid w:val="001F6ADE"/>
    <w:rsid w:val="002064A3"/>
    <w:rsid w:val="002436B5"/>
    <w:rsid w:val="00250C42"/>
    <w:rsid w:val="00296890"/>
    <w:rsid w:val="00304B39"/>
    <w:rsid w:val="00356095"/>
    <w:rsid w:val="003C0D85"/>
    <w:rsid w:val="003E3FE3"/>
    <w:rsid w:val="00436762"/>
    <w:rsid w:val="004B2AD0"/>
    <w:rsid w:val="00503CE3"/>
    <w:rsid w:val="00560D95"/>
    <w:rsid w:val="00597B2A"/>
    <w:rsid w:val="005D17EF"/>
    <w:rsid w:val="005D2127"/>
    <w:rsid w:val="005F28A0"/>
    <w:rsid w:val="00610B37"/>
    <w:rsid w:val="00651E54"/>
    <w:rsid w:val="00686480"/>
    <w:rsid w:val="006D5B92"/>
    <w:rsid w:val="007439D2"/>
    <w:rsid w:val="00745E3D"/>
    <w:rsid w:val="007466DE"/>
    <w:rsid w:val="0076315F"/>
    <w:rsid w:val="007B7235"/>
    <w:rsid w:val="007C5469"/>
    <w:rsid w:val="007F78C6"/>
    <w:rsid w:val="00836F39"/>
    <w:rsid w:val="008A76C8"/>
    <w:rsid w:val="008B1A42"/>
    <w:rsid w:val="008B33CF"/>
    <w:rsid w:val="00907734"/>
    <w:rsid w:val="009842DE"/>
    <w:rsid w:val="009847AD"/>
    <w:rsid w:val="00A05188"/>
    <w:rsid w:val="00B13CCB"/>
    <w:rsid w:val="00B41ACE"/>
    <w:rsid w:val="00B5740E"/>
    <w:rsid w:val="00BB6C9E"/>
    <w:rsid w:val="00BE03D6"/>
    <w:rsid w:val="00C03668"/>
    <w:rsid w:val="00C13779"/>
    <w:rsid w:val="00C42A5B"/>
    <w:rsid w:val="00C440D1"/>
    <w:rsid w:val="00C75E3F"/>
    <w:rsid w:val="00CC48DB"/>
    <w:rsid w:val="00D36DD8"/>
    <w:rsid w:val="00D74048"/>
    <w:rsid w:val="00D77911"/>
    <w:rsid w:val="00DA0999"/>
    <w:rsid w:val="00DB1750"/>
    <w:rsid w:val="00E14F6E"/>
    <w:rsid w:val="00E35CF6"/>
    <w:rsid w:val="00E57383"/>
    <w:rsid w:val="00EC4255"/>
    <w:rsid w:val="00FF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C2DBA20"/>
  <w15:docId w15:val="{56D2F725-5820-44A4-8068-E5D09C8A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15F"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F41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413C"/>
    <w:rPr>
      <w:rFonts w:ascii="Tahoma" w:hAnsi="Tahoma" w:cs="Tahoma"/>
      <w:kern w:val="28"/>
      <w:sz w:val="16"/>
      <w:szCs w:val="16"/>
    </w:rPr>
  </w:style>
  <w:style w:type="table" w:styleId="TableGrid">
    <w:name w:val="Table Grid"/>
    <w:basedOn w:val="TableNormal"/>
    <w:rsid w:val="00A05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C137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13779"/>
    <w:rPr>
      <w:kern w:val="28"/>
    </w:rPr>
  </w:style>
  <w:style w:type="paragraph" w:styleId="Footer">
    <w:name w:val="footer"/>
    <w:basedOn w:val="Normal"/>
    <w:link w:val="FooterChar"/>
    <w:unhideWhenUsed/>
    <w:rsid w:val="00C137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13779"/>
    <w:rPr>
      <w:kern w:val="28"/>
    </w:rPr>
  </w:style>
  <w:style w:type="paragraph" w:styleId="ListParagraph">
    <w:name w:val="List Paragraph"/>
    <w:basedOn w:val="Normal"/>
    <w:uiPriority w:val="34"/>
    <w:qFormat/>
    <w:rsid w:val="007C5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Eight</vt:lpstr>
    </vt:vector>
  </TitlesOfParts>
  <Company>Hewlett-Packard</Company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Eight</dc:title>
  <dc:creator>ELIZABETH STONE ATKINS</dc:creator>
  <cp:lastModifiedBy>Lisa</cp:lastModifiedBy>
  <cp:revision>9</cp:revision>
  <cp:lastPrinted>2010-10-02T00:53:00Z</cp:lastPrinted>
  <dcterms:created xsi:type="dcterms:W3CDTF">2016-11-03T03:01:00Z</dcterms:created>
  <dcterms:modified xsi:type="dcterms:W3CDTF">2016-11-07T16:03:00Z</dcterms:modified>
</cp:coreProperties>
</file>